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黑体" w:hAnsi="黑体" w:eastAsia="黑体" w:cs="Times New Roman"/>
          <w:lang w:val="en-US" w:eastAsia="zh-CN"/>
        </w:rPr>
      </w:pPr>
      <w:r>
        <w:rPr>
          <w:rFonts w:ascii="黑体" w:hAnsi="黑体" w:eastAsia="黑体" w:cs="Times New Roman"/>
        </w:rPr>
        <mc:AlternateContent>
          <mc:Choice Requires="wps">
            <w:drawing>
              <wp:anchor distT="0" distB="0" distL="114300" distR="114300" simplePos="0" relativeHeight="251659264" behindDoc="0" locked="0" layoutInCell="1" allowOverlap="1">
                <wp:simplePos x="0" y="0"/>
                <wp:positionH relativeFrom="column">
                  <wp:posOffset>2859405</wp:posOffset>
                </wp:positionH>
                <wp:positionV relativeFrom="topMargin">
                  <wp:posOffset>465455</wp:posOffset>
                </wp:positionV>
                <wp:extent cx="3696970" cy="792480"/>
                <wp:effectExtent l="0" t="0" r="0" b="0"/>
                <wp:wrapNone/>
                <wp:docPr id="7" name="Text Box 2"/>
                <wp:cNvGraphicFramePr/>
                <a:graphic xmlns:a="http://schemas.openxmlformats.org/drawingml/2006/main">
                  <a:graphicData uri="http://schemas.microsoft.com/office/word/2010/wordprocessingShape">
                    <wps:wsp>
                      <wps:cNvSpPr txBox="1">
                        <a:spLocks noChangeArrowheads="1"/>
                      </wps:cNvSpPr>
                      <wps:spPr bwMode="auto">
                        <a:xfrm>
                          <a:off x="0" y="0"/>
                          <a:ext cx="3696970" cy="792480"/>
                        </a:xfrm>
                        <a:prstGeom prst="rect">
                          <a:avLst/>
                        </a:prstGeom>
                        <a:noFill/>
                        <a:ln>
                          <a:noFill/>
                        </a:ln>
                      </wps:spPr>
                      <wps:txbx>
                        <w:txbxContent>
                          <w:p>
                            <w:pPr>
                              <w:pStyle w:val="29"/>
                              <w:shd w:val="clear"/>
                              <w:wordWrap w:val="0"/>
                              <w:ind w:right="471" w:firstLine="626" w:firstLineChars="50"/>
                              <w:jc w:val="both"/>
                              <w:rPr>
                                <w:rFonts w:eastAsia="方正小标宋_GBK"/>
                                <w:sz w:val="84"/>
                                <w:szCs w:val="84"/>
                              </w:rPr>
                            </w:pPr>
                            <w:r>
                              <w:rPr>
                                <w:rFonts w:eastAsia="方正小标宋_GBK"/>
                                <w:szCs w:val="84"/>
                              </w:rPr>
                              <w:t>DB3205</w:t>
                            </w:r>
                          </w:p>
                        </w:txbxContent>
                      </wps:txbx>
                      <wps:bodyPr rot="0" vert="horz" wrap="square" lIns="91440" tIns="45720" rIns="91440" bIns="45720" anchor="t" anchorCtr="0" upright="1">
                        <a:spAutoFit/>
                      </wps:bodyPr>
                    </wps:wsp>
                  </a:graphicData>
                </a:graphic>
              </wp:anchor>
            </w:drawing>
          </mc:Choice>
          <mc:Fallback>
            <w:pict>
              <v:shape id="Text Box 2" o:spid="_x0000_s1026" o:spt="202" type="#_x0000_t202" style="position:absolute;left:0pt;margin-left:296.05pt;margin-top:36.65pt;height:62.4pt;width:291.1pt;mso-position-horizontal-relative:page;mso-position-vertical-relative:page;z-index:251659264;mso-width-relative:page;mso-height-relative:page;" filled="f" stroked="f" coordsize="21600,21600" o:gfxdata="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6dfju2AAAAAsBAAAPAAAAAAAAAAEAIAAAACIAAABk&#10;cnMvZG93bnJldi54bWxQSwECFAAUAAAACACHTuJA6QXcpAYCAAAUBAAADgAAAAAAAAABACAAAAAn&#10;AQAAZHJzL2Uyb0RvYy54bWxQSwUGAAAAAAYABgBZAQAAnwUAAAAA&#10;">
                <v:fill on="f" focussize="0,0"/>
                <v:stroke on="f"/>
                <v:imagedata o:title=""/>
                <o:lock v:ext="edit" aspectratio="f"/>
                <v:textbox style="mso-fit-shape-to-text:t;">
                  <w:txbxContent>
                    <w:p>
                      <w:pPr>
                        <w:pStyle w:val="29"/>
                        <w:shd w:val="clear"/>
                        <w:wordWrap w:val="0"/>
                        <w:ind w:right="471" w:firstLine="626" w:firstLineChars="50"/>
                        <w:jc w:val="both"/>
                        <w:rPr>
                          <w:rFonts w:eastAsia="方正小标宋_GBK"/>
                          <w:sz w:val="84"/>
                          <w:szCs w:val="84"/>
                        </w:rPr>
                      </w:pPr>
                      <w:r>
                        <w:rPr>
                          <w:rFonts w:eastAsia="方正小标宋_GBK"/>
                          <w:szCs w:val="84"/>
                        </w:rPr>
                        <w:t>DB3205</w:t>
                      </w:r>
                    </w:p>
                  </w:txbxContent>
                </v:textbox>
              </v:shape>
            </w:pict>
          </mc:Fallback>
        </mc:AlternateContent>
      </w:r>
      <w:r>
        <w:rPr>
          <w:rFonts w:ascii="黑体" w:hAnsi="黑体" w:eastAsia="黑体" w:cs="Times New Roman"/>
        </w:rPr>
        <w:t xml:space="preserve">ICS </w:t>
      </w:r>
      <w:r>
        <w:rPr>
          <w:rFonts w:hint="eastAsia" w:ascii="黑体" w:hAnsi="黑体" w:eastAsia="黑体" w:cs="Times New Roman"/>
          <w:lang w:val="en-US" w:eastAsia="zh-CN"/>
        </w:rPr>
        <w:t>27</w:t>
      </w:r>
      <w:r>
        <w:rPr>
          <w:rFonts w:ascii="黑体" w:hAnsi="黑体" w:eastAsia="黑体" w:cs="Times New Roman"/>
        </w:rPr>
        <w:t>.</w:t>
      </w:r>
      <w:r>
        <w:rPr>
          <w:rFonts w:hint="eastAsia" w:ascii="黑体" w:hAnsi="黑体" w:eastAsia="黑体" w:cs="Times New Roman"/>
          <w:lang w:val="en-US" w:eastAsia="zh-CN"/>
        </w:rPr>
        <w:t>010</w:t>
      </w:r>
    </w:p>
    <w:p>
      <w:pPr>
        <w:rPr>
          <w:rFonts w:ascii="黑体" w:hAnsi="黑体" w:eastAsia="黑体" w:cs="Times New Roman"/>
        </w:rPr>
      </w:pPr>
      <w:r>
        <w:rPr>
          <w:rFonts w:ascii="黑体" w:hAnsi="黑体" w:eastAsia="黑体" w:cs="Times New Roman"/>
        </w:rPr>
        <w:t xml:space="preserve">CCS </w:t>
      </w:r>
      <w:r>
        <w:rPr>
          <w:rFonts w:hint="eastAsia" w:ascii="黑体" w:hAnsi="黑体" w:eastAsia="黑体" w:cs="Times New Roman"/>
          <w:lang w:val="en-US" w:eastAsia="zh-CN"/>
        </w:rPr>
        <w:t>F</w:t>
      </w:r>
      <w:r>
        <w:rPr>
          <w:rFonts w:ascii="黑体" w:hAnsi="黑体" w:eastAsia="黑体" w:cs="Times New Roman"/>
        </w:rPr>
        <w:t xml:space="preserve"> </w:t>
      </w:r>
      <w:r>
        <w:rPr>
          <w:rFonts w:hint="eastAsia" w:ascii="黑体" w:hAnsi="黑体" w:eastAsia="黑体" w:cs="Times New Roman"/>
          <w:lang w:val="en-US" w:eastAsia="zh-CN"/>
        </w:rPr>
        <w:t>00</w:t>
      </w:r>
      <w:r>
        <w:rPr>
          <w:rFonts w:ascii="黑体" w:hAnsi="黑体" w:eastAsia="黑体" w:cs="Times New Roman"/>
        </w:rPr>
        <w:t xml:space="preserve"> </w:t>
      </w:r>
    </w:p>
    <w:p>
      <w:pPr>
        <w:rPr>
          <w:rFonts w:ascii="黑体" w:hAnsi="黑体" w:eastAsia="黑体"/>
        </w:rPr>
      </w:pPr>
    </w:p>
    <w:p>
      <w:pPr>
        <w:autoSpaceDE w:val="0"/>
        <w:autoSpaceDN w:val="0"/>
        <w:adjustRightInd w:val="0"/>
        <w:jc w:val="distribute"/>
        <w:rPr>
          <w:rFonts w:ascii="方正小标宋_GBK" w:eastAsia="方正小标宋_GBK" w:cs="Dotum,Bold"/>
          <w:bCs/>
          <w:snapToGrid w:val="0"/>
          <w:kern w:val="0"/>
          <w:sz w:val="52"/>
          <w:szCs w:val="52"/>
        </w:rPr>
      </w:pPr>
      <w:r>
        <w:rPr>
          <w:rFonts w:ascii="黑体" w:hAnsi="黑体" w:eastAsia="黑体"/>
        </w:rPr>
        <mc:AlternateContent>
          <mc:Choice Requires="wps">
            <w:drawing>
              <wp:anchor distT="0" distB="0" distL="114300" distR="114300" simplePos="0" relativeHeight="251662336" behindDoc="0" locked="0" layoutInCell="1" allowOverlap="1">
                <wp:simplePos x="0" y="0"/>
                <wp:positionH relativeFrom="column">
                  <wp:posOffset>80645</wp:posOffset>
                </wp:positionH>
                <wp:positionV relativeFrom="topMargin">
                  <wp:posOffset>1181100</wp:posOffset>
                </wp:positionV>
                <wp:extent cx="6120130" cy="615950"/>
                <wp:effectExtent l="0" t="0" r="0" b="0"/>
                <wp:wrapNone/>
                <wp:docPr id="3" name="Text Box 18"/>
                <wp:cNvGraphicFramePr/>
                <a:graphic xmlns:a="http://schemas.openxmlformats.org/drawingml/2006/main">
                  <a:graphicData uri="http://schemas.microsoft.com/office/word/2010/wordprocessingShape">
                    <wps:wsp>
                      <wps:cNvSpPr txBox="1">
                        <a:spLocks noChangeArrowheads="1"/>
                      </wps:cNvSpPr>
                      <wps:spPr bwMode="auto">
                        <a:xfrm>
                          <a:off x="0" y="0"/>
                          <a:ext cx="6120130" cy="615950"/>
                        </a:xfrm>
                        <a:prstGeom prst="rect">
                          <a:avLst/>
                        </a:prstGeom>
                        <a:noFill/>
                        <a:ln w="0">
                          <a:noFill/>
                          <a:miter lim="800000"/>
                        </a:ln>
                      </wps:spPr>
                      <wps:txbx>
                        <w:txbxContent>
                          <w:p>
                            <w:pPr>
                              <w:jc w:val="distribute"/>
                            </w:pPr>
                            <w:r>
                              <w:rPr>
                                <w:rFonts w:hint="eastAsia" w:ascii="方正小标宋_GBK" w:hAnsi="宋体" w:eastAsia="方正小标宋_GBK" w:cs="SimSun,Bold"/>
                                <w:bCs/>
                                <w:snapToGrid w:val="0"/>
                                <w:kern w:val="0"/>
                                <w:sz w:val="52"/>
                                <w:szCs w:val="52"/>
                              </w:rPr>
                              <w:t>苏州市地方标准</w:t>
                            </w:r>
                          </w:p>
                        </w:txbxContent>
                      </wps:txbx>
                      <wps:bodyPr rot="0" vert="horz" wrap="square" lIns="91440" tIns="45720" rIns="91440" bIns="45720" anchor="t" anchorCtr="0" upright="1">
                        <a:noAutofit/>
                      </wps:bodyPr>
                    </wps:wsp>
                  </a:graphicData>
                </a:graphic>
              </wp:anchor>
            </w:drawing>
          </mc:Choice>
          <mc:Fallback>
            <w:pict>
              <v:shape id="Text Box 18" o:spid="_x0000_s1026" o:spt="202" type="#_x0000_t202" style="position:absolute;left:0pt;margin-left:77.25pt;margin-top:93pt;height:48.5pt;width:481.9pt;mso-position-horizontal-relative:page;mso-position-vertical-relative:page;z-index:251662336;mso-width-relative:page;mso-height-relative:page;" filled="f" stroked="f" coordsize="21600,21600" o:gfxdata="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KeonEPYAAAACgEAAA8A&#10;AAAAAAAAAQAgAAAAIgAAAGRycy9kb3ducmV2LnhtbFBLAQIUABQAAAAIAIdO4kD2AeosFwIAADIE&#10;AAAOAAAAAAAAAAEAIAAAACcBAABkcnMvZTJvRG9jLnhtbFBLBQYAAAAABgAGAFkBAACwBQAAAAA=&#10;">
                <v:fill on="f" focussize="0,0"/>
                <v:stroke on="f" weight="0pt" miterlimit="8" joinstyle="miter"/>
                <v:imagedata o:title=""/>
                <o:lock v:ext="edit" aspectratio="f"/>
                <v:textbox>
                  <w:txbxContent>
                    <w:p>
                      <w:pPr>
                        <w:jc w:val="distribute"/>
                      </w:pPr>
                      <w:r>
                        <w:rPr>
                          <w:rFonts w:hint="eastAsia" w:ascii="方正小标宋_GBK" w:hAnsi="宋体" w:eastAsia="方正小标宋_GBK" w:cs="SimSun,Bold"/>
                          <w:bCs/>
                          <w:snapToGrid w:val="0"/>
                          <w:kern w:val="0"/>
                          <w:sz w:val="52"/>
                          <w:szCs w:val="52"/>
                        </w:rPr>
                        <w:t>苏州市地方标准</w:t>
                      </w:r>
                    </w:p>
                  </w:txbxContent>
                </v:textbox>
              </v:shape>
            </w:pict>
          </mc:Fallback>
        </mc:AlternateContent>
      </w:r>
    </w:p>
    <w:p>
      <w:pPr>
        <w:spacing w:line="510" w:lineRule="exact"/>
        <w:rPr>
          <w:rFonts w:ascii="黑体" w:hAnsi="黑体" w:eastAsia="黑体"/>
          <w:kern w:val="0"/>
          <w:sz w:val="28"/>
          <w:szCs w:val="28"/>
        </w:rPr>
      </w:pPr>
      <w:r>
        <w:rPr>
          <w:rFonts w:hint="eastAsia" w:ascii="黑体" w:hAnsi="黑体" w:eastAsia="黑体"/>
        </w:rPr>
        <w:t xml:space="preserve">                                                                   </w:t>
      </w:r>
      <w:r>
        <w:rPr>
          <w:rFonts w:hint="eastAsia" w:ascii="黑体" w:hAnsi="黑体" w:eastAsia="黑体"/>
          <w:kern w:val="0"/>
          <w:sz w:val="28"/>
          <w:szCs w:val="28"/>
        </w:rPr>
        <w:t xml:space="preserve">  </w:t>
      </w:r>
    </w:p>
    <w:p>
      <w:pPr>
        <w:autoSpaceDE w:val="0"/>
        <w:autoSpaceDN w:val="0"/>
        <w:adjustRightInd w:val="0"/>
        <w:spacing w:line="3686" w:lineRule="exact"/>
        <w:jc w:val="center"/>
        <w:rPr>
          <w:rFonts w:ascii="黑体" w:hAnsi="黑体" w:eastAsia="黑体"/>
        </w:rPr>
      </w:pPr>
      <w:r>
        <w:rPr>
          <w:rFonts w:ascii="黑体" w:hAnsi="黑体" w:eastAsia="黑体"/>
        </w:rPr>
        <mc:AlternateContent>
          <mc:Choice Requires="wps">
            <w:drawing>
              <wp:anchor distT="0" distB="0" distL="114300" distR="114300" simplePos="0" relativeHeight="251663360" behindDoc="0" locked="0" layoutInCell="1" allowOverlap="1">
                <wp:simplePos x="0" y="0"/>
                <wp:positionH relativeFrom="rightMargin">
                  <wp:posOffset>-1712595</wp:posOffset>
                </wp:positionH>
                <wp:positionV relativeFrom="topMargin">
                  <wp:posOffset>2238375</wp:posOffset>
                </wp:positionV>
                <wp:extent cx="1927225" cy="304800"/>
                <wp:effectExtent l="0" t="0" r="0" b="0"/>
                <wp:wrapNone/>
                <wp:docPr id="6" name="Text Box 19"/>
                <wp:cNvGraphicFramePr/>
                <a:graphic xmlns:a="http://schemas.openxmlformats.org/drawingml/2006/main">
                  <a:graphicData uri="http://schemas.microsoft.com/office/word/2010/wordprocessingShape">
                    <wps:wsp>
                      <wps:cNvSpPr txBox="1">
                        <a:spLocks noChangeArrowheads="1"/>
                      </wps:cNvSpPr>
                      <wps:spPr bwMode="auto">
                        <a:xfrm>
                          <a:off x="0" y="0"/>
                          <a:ext cx="1927344" cy="304800"/>
                        </a:xfrm>
                        <a:prstGeom prst="rect">
                          <a:avLst/>
                        </a:prstGeom>
                        <a:noFill/>
                        <a:ln w="0">
                          <a:noFill/>
                          <a:miter lim="800000"/>
                        </a:ln>
                      </wps:spPr>
                      <wps:txbx>
                        <w:txbxContent>
                          <w:p>
                            <w:pPr>
                              <w:spacing w:line="400" w:lineRule="exact"/>
                              <w:jc w:val="left"/>
                              <w:rPr>
                                <w:rFonts w:ascii="黑体" w:hAnsi="黑体" w:eastAsia="黑体"/>
                                <w:kern w:val="0"/>
                                <w:sz w:val="28"/>
                                <w:szCs w:val="28"/>
                              </w:rPr>
                            </w:pPr>
                            <w:r>
                              <w:rPr>
                                <w:rFonts w:ascii="黑体" w:hAnsi="黑体" w:eastAsia="黑体"/>
                                <w:kern w:val="0"/>
                                <w:sz w:val="28"/>
                                <w:szCs w:val="28"/>
                              </w:rPr>
                              <w:t>DB3205/T XXX</w:t>
                            </w:r>
                            <w:r>
                              <w:rPr>
                                <w:rFonts w:hint="eastAsia" w:ascii="黑体" w:hAnsi="黑体" w:eastAsia="黑体"/>
                                <w:kern w:val="0"/>
                                <w:sz w:val="28"/>
                                <w:szCs w:val="28"/>
                              </w:rPr>
                              <w:t>—</w:t>
                            </w:r>
                            <w:r>
                              <w:rPr>
                                <w:rFonts w:ascii="黑体" w:hAnsi="黑体" w:eastAsia="黑体"/>
                                <w:kern w:val="0"/>
                                <w:sz w:val="28"/>
                                <w:szCs w:val="28"/>
                              </w:rPr>
                              <w:t>XXXX</w:t>
                            </w:r>
                          </w:p>
                        </w:txbxContent>
                      </wps:txbx>
                      <wps:bodyPr rot="0" vert="horz" wrap="square" lIns="91440" tIns="45720" rIns="91440" bIns="45720" anchor="t" anchorCtr="0" upright="1">
                        <a:noAutofit/>
                      </wps:bodyPr>
                    </wps:wsp>
                  </a:graphicData>
                </a:graphic>
              </wp:anchor>
            </w:drawing>
          </mc:Choice>
          <mc:Fallback>
            <w:pict>
              <v:shape id="Text Box 19" o:spid="_x0000_s1026" o:spt="202" type="#_x0000_t202" style="position:absolute;left:0pt;margin-left:417.9pt;margin-top:176.25pt;height:24pt;width:151.75pt;mso-position-horizontal-relative:page;mso-position-vertical-relative:page;z-index:251663360;mso-width-relative:page;mso-height-relative:page;" filled="f" stroked="f" coordsize="21600,21600" o:gfxdata="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q+dd+2wAAAAsB&#10;AAAPAAAAAAAAAAEAIAAAACIAAABkcnMvZG93bnJldi54bWxQSwECFAAUAAAACACHTuJAzkxZKRgC&#10;AAAyBAAADgAAAAAAAAABACAAAAAqAQAAZHJzL2Uyb0RvYy54bWxQSwUGAAAAAAYABgBZAQAAtAUA&#10;AAAA&#10;">
                <v:fill on="f" focussize="0,0"/>
                <v:stroke on="f" weight="0pt" miterlimit="8" joinstyle="miter"/>
                <v:imagedata o:title=""/>
                <o:lock v:ext="edit" aspectratio="f"/>
                <v:textbox>
                  <w:txbxContent>
                    <w:p>
                      <w:pPr>
                        <w:spacing w:line="400" w:lineRule="exact"/>
                        <w:jc w:val="left"/>
                        <w:rPr>
                          <w:rFonts w:ascii="黑体" w:hAnsi="黑体" w:eastAsia="黑体"/>
                          <w:kern w:val="0"/>
                          <w:sz w:val="28"/>
                          <w:szCs w:val="28"/>
                        </w:rPr>
                      </w:pPr>
                      <w:r>
                        <w:rPr>
                          <w:rFonts w:ascii="黑体" w:hAnsi="黑体" w:eastAsia="黑体"/>
                          <w:kern w:val="0"/>
                          <w:sz w:val="28"/>
                          <w:szCs w:val="28"/>
                        </w:rPr>
                        <w:t>DB3205/T XXX</w:t>
                      </w:r>
                      <w:r>
                        <w:rPr>
                          <w:rFonts w:hint="eastAsia" w:ascii="黑体" w:hAnsi="黑体" w:eastAsia="黑体"/>
                          <w:kern w:val="0"/>
                          <w:sz w:val="28"/>
                          <w:szCs w:val="28"/>
                        </w:rPr>
                        <w:t>—</w:t>
                      </w:r>
                      <w:r>
                        <w:rPr>
                          <w:rFonts w:ascii="黑体" w:hAnsi="黑体" w:eastAsia="黑体"/>
                          <w:kern w:val="0"/>
                          <w:sz w:val="28"/>
                          <w:szCs w:val="28"/>
                        </w:rPr>
                        <w:t>XXXX</w:t>
                      </w:r>
                    </w:p>
                  </w:txbxContent>
                </v:textbox>
              </v:shape>
            </w:pict>
          </mc:Fallback>
        </mc:AlternateContent>
      </w:r>
      <w:r>
        <w:rPr>
          <w:rFonts w:ascii="黑体" w:hAnsi="黑体" w:eastAsia="黑体"/>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topMargin">
                  <wp:posOffset>2708910</wp:posOffset>
                </wp:positionV>
                <wp:extent cx="6115050" cy="0"/>
                <wp:effectExtent l="14605" t="13335" r="13970" b="15240"/>
                <wp:wrapNone/>
                <wp:docPr id="5" name="AutoShape 13"/>
                <wp:cNvGraphicFramePr/>
                <a:graphic xmlns:a="http://schemas.openxmlformats.org/drawingml/2006/main">
                  <a:graphicData uri="http://schemas.microsoft.com/office/word/2010/wordprocessingShape">
                    <wps:wsp>
                      <wps:cNvCnPr>
                        <a:cxnSpLocks noChangeShapeType="1"/>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id="AutoShape 13" o:spid="_x0000_s1026" o:spt="32" type="#_x0000_t32" style="position:absolute;left:0pt;margin-left:70.9pt;margin-top:213.3pt;height:0pt;width:481.5pt;mso-position-horizontal-relative:page;mso-position-vertical-relative:page;z-index:251660288;mso-width-relative:page;mso-height-relative:page;" filled="f" stroked="t" coordsize="21600,21600" o:gfxdata="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Iy4Wx0wAAAAgBAAAPAAAAAAAAAAEAIAAAACIA&#10;AABkcnMvZG93bnJldi54bWxQSwECFAAUAAAACACHTuJARwVqgNUBAAC0AwAADgAAAAAAAAABACAA&#10;AAAiAQAAZHJzL2Uyb0RvYy54bWxQSwUGAAAAAAYABgBZAQAAaQUAAAAA&#10;">
                <v:fill on="f" focussize="0,0"/>
                <v:stroke weight="1pt" color="#000000" joinstyle="round"/>
                <v:imagedata o:title=""/>
                <o:lock v:ext="edit" aspectratio="f"/>
              </v:shape>
            </w:pict>
          </mc:Fallback>
        </mc:AlternateContent>
      </w:r>
      <w:r>
        <w:rPr>
          <w:rFonts w:ascii="黑体" w:hAnsi="黑体" w:eastAsia="黑体"/>
        </w:rPr>
        <mc:AlternateContent>
          <mc:Choice Requires="wps">
            <w:drawing>
              <wp:anchor distT="0" distB="0" distL="114300" distR="114300" simplePos="0" relativeHeight="251661312" behindDoc="0" locked="0" layoutInCell="1" allowOverlap="1">
                <wp:simplePos x="0" y="0"/>
                <wp:positionH relativeFrom="column">
                  <wp:posOffset>80645</wp:posOffset>
                </wp:positionH>
                <wp:positionV relativeFrom="topMargin">
                  <wp:posOffset>4140835</wp:posOffset>
                </wp:positionV>
                <wp:extent cx="5924550" cy="3248025"/>
                <wp:effectExtent l="0" t="0" r="0" b="0"/>
                <wp:wrapNone/>
                <wp:docPr id="4" name="Text Box 17"/>
                <wp:cNvGraphicFramePr/>
                <a:graphic xmlns:a="http://schemas.openxmlformats.org/drawingml/2006/main">
                  <a:graphicData uri="http://schemas.microsoft.com/office/word/2010/wordprocessingShape">
                    <wps:wsp>
                      <wps:cNvSpPr txBox="1">
                        <a:spLocks noChangeArrowheads="1"/>
                      </wps:cNvSpPr>
                      <wps:spPr bwMode="auto">
                        <a:xfrm>
                          <a:off x="0" y="0"/>
                          <a:ext cx="5924550" cy="3248025"/>
                        </a:xfrm>
                        <a:prstGeom prst="rect">
                          <a:avLst/>
                        </a:prstGeom>
                        <a:noFill/>
                        <a:ln w="0">
                          <a:noFill/>
                          <a:miter lim="800000"/>
                        </a:ln>
                      </wps:spPr>
                      <wps:txbx>
                        <w:txbxContent>
                          <w:p>
                            <w:pPr>
                              <w:jc w:val="center"/>
                              <w:rPr>
                                <w:rFonts w:hint="eastAsia" w:ascii="黑体" w:hAnsi="宋体" w:eastAsia="黑体"/>
                                <w:sz w:val="52"/>
                                <w:szCs w:val="52"/>
                                <w:lang w:val="en-US" w:eastAsia="zh-CN"/>
                              </w:rPr>
                            </w:pPr>
                            <w:r>
                              <w:rPr>
                                <w:rFonts w:hint="eastAsia" w:ascii="黑体" w:hAnsi="宋体" w:eastAsia="黑体"/>
                                <w:sz w:val="52"/>
                                <w:szCs w:val="52"/>
                                <w:lang w:val="en-US" w:eastAsia="zh-CN"/>
                              </w:rPr>
                              <w:t>公共机构节能管理规范</w:t>
                            </w:r>
                          </w:p>
                          <w:p>
                            <w:pPr>
                              <w:pStyle w:val="76"/>
                              <w:textAlignment w:val="bottom"/>
                              <w:rPr>
                                <w:rFonts w:hint="eastAsia" w:ascii="黑体" w:hAnsi="黑体" w:eastAsia="黑体" w:cstheme="minorBidi"/>
                                <w:kern w:val="0"/>
                                <w:sz w:val="28"/>
                                <w:szCs w:val="21"/>
                                <w:lang w:val="en-US" w:eastAsia="zh-CN" w:bidi="ar-SA"/>
                              </w:rPr>
                            </w:pPr>
                            <w:r>
                              <w:rPr>
                                <w:rFonts w:hint="eastAsia" w:ascii="黑体" w:hAnsi="黑体" w:eastAsia="黑体" w:cstheme="minorBidi"/>
                                <w:kern w:val="0"/>
                                <w:sz w:val="28"/>
                                <w:szCs w:val="21"/>
                                <w:lang w:val="en-US" w:eastAsia="zh-CN" w:bidi="ar-SA"/>
                              </w:rPr>
                              <w:t>Specification for energy-saving management in public institutions</w:t>
                            </w:r>
                          </w:p>
                          <w:p>
                            <w:pPr>
                              <w:spacing w:line="760" w:lineRule="exact"/>
                              <w:ind w:left="-1418"/>
                            </w:pPr>
                          </w:p>
                          <w:p>
                            <w:pPr>
                              <w:jc w:val="center"/>
                              <w:rPr>
                                <w:rFonts w:asciiTheme="minorEastAsia" w:hAnsiTheme="minorEastAsia"/>
                                <w:sz w:val="24"/>
                              </w:rPr>
                            </w:pPr>
                            <w:r>
                              <w:rPr>
                                <w:rFonts w:hint="eastAsia" w:asciiTheme="minorEastAsia" w:hAnsiTheme="minorEastAsia"/>
                                <w:sz w:val="24"/>
                              </w:rPr>
                              <w:t>（报批稿）</w:t>
                            </w:r>
                          </w:p>
                        </w:txbxContent>
                      </wps:txbx>
                      <wps:bodyPr rot="0" vert="horz" wrap="square" lIns="91440" tIns="45720" rIns="91440" bIns="45720" anchor="t" anchorCtr="0" upright="1">
                        <a:noAutofit/>
                      </wps:bodyPr>
                    </wps:wsp>
                  </a:graphicData>
                </a:graphic>
              </wp:anchor>
            </w:drawing>
          </mc:Choice>
          <mc:Fallback>
            <w:pict>
              <v:shape id="Text Box 17" o:spid="_x0000_s1026" o:spt="202" type="#_x0000_t202" style="position:absolute;left:0pt;margin-left:77.25pt;margin-top:326.05pt;height:255.75pt;width:466.5pt;mso-position-horizontal-relative:page;mso-position-vertical-relative:page;z-index:251661312;mso-width-relative:page;mso-height-relative:page;" filled="f" stroked="f" coordsize="21600,21600" o:gfxdata="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MG462QAAAAsBAAAP&#10;AAAAAAAAAAEAIAAAACIAAABkcnMvZG93bnJldi54bWxQSwECFAAUAAAACACHTuJAwAXEWxcCAAAz&#10;BAAADgAAAAAAAAABACAAAAAoAQAAZHJzL2Uyb0RvYy54bWxQSwUGAAAAAAYABgBZAQAAsQUAAAAA&#10;">
                <v:fill on="f" focussize="0,0"/>
                <v:stroke on="f" weight="0pt" miterlimit="8" joinstyle="miter"/>
                <v:imagedata o:title=""/>
                <o:lock v:ext="edit" aspectratio="f"/>
                <v:textbox>
                  <w:txbxContent>
                    <w:p>
                      <w:pPr>
                        <w:jc w:val="center"/>
                        <w:rPr>
                          <w:rFonts w:hint="eastAsia" w:ascii="黑体" w:hAnsi="宋体" w:eastAsia="黑体"/>
                          <w:sz w:val="52"/>
                          <w:szCs w:val="52"/>
                          <w:lang w:val="en-US" w:eastAsia="zh-CN"/>
                        </w:rPr>
                      </w:pPr>
                      <w:r>
                        <w:rPr>
                          <w:rFonts w:hint="eastAsia" w:ascii="黑体" w:hAnsi="宋体" w:eastAsia="黑体"/>
                          <w:sz w:val="52"/>
                          <w:szCs w:val="52"/>
                          <w:lang w:val="en-US" w:eastAsia="zh-CN"/>
                        </w:rPr>
                        <w:t>公共机构节能管理规范</w:t>
                      </w:r>
                    </w:p>
                    <w:p>
                      <w:pPr>
                        <w:pStyle w:val="76"/>
                        <w:textAlignment w:val="bottom"/>
                        <w:rPr>
                          <w:rFonts w:hint="eastAsia" w:ascii="黑体" w:hAnsi="黑体" w:eastAsia="黑体" w:cstheme="minorBidi"/>
                          <w:kern w:val="0"/>
                          <w:sz w:val="28"/>
                          <w:szCs w:val="21"/>
                          <w:lang w:val="en-US" w:eastAsia="zh-CN" w:bidi="ar-SA"/>
                        </w:rPr>
                      </w:pPr>
                      <w:r>
                        <w:rPr>
                          <w:rFonts w:hint="eastAsia" w:ascii="黑体" w:hAnsi="黑体" w:eastAsia="黑体" w:cstheme="minorBidi"/>
                          <w:kern w:val="0"/>
                          <w:sz w:val="28"/>
                          <w:szCs w:val="21"/>
                          <w:lang w:val="en-US" w:eastAsia="zh-CN" w:bidi="ar-SA"/>
                        </w:rPr>
                        <w:t>Specification for energy-saving management in public institutions</w:t>
                      </w:r>
                    </w:p>
                    <w:p>
                      <w:pPr>
                        <w:spacing w:line="760" w:lineRule="exact"/>
                        <w:ind w:left="-1418"/>
                      </w:pPr>
                    </w:p>
                    <w:p>
                      <w:pPr>
                        <w:jc w:val="center"/>
                        <w:rPr>
                          <w:rFonts w:asciiTheme="minorEastAsia" w:hAnsiTheme="minorEastAsia"/>
                          <w:sz w:val="24"/>
                        </w:rPr>
                      </w:pPr>
                      <w:r>
                        <w:rPr>
                          <w:rFonts w:hint="eastAsia" w:asciiTheme="minorEastAsia" w:hAnsiTheme="minorEastAsia"/>
                          <w:sz w:val="24"/>
                        </w:rPr>
                        <w:t>（报批稿）</w:t>
                      </w:r>
                    </w:p>
                  </w:txbxContent>
                </v:textbox>
              </v:shape>
            </w:pict>
          </mc:Fallback>
        </mc:AlternateContent>
      </w: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r>
        <w:rPr>
          <w:rFonts w:hint="eastAsia" w:ascii="黑体" w:hAnsi="黑体" w:eastAsia="黑体"/>
        </w:rPr>
        <w:t xml:space="preserve">                                                                                          </w:t>
      </w:r>
    </w:p>
    <w:p>
      <w:pPr>
        <w:pStyle w:val="8"/>
      </w:pPr>
    </w:p>
    <w:p>
      <w:pPr>
        <w:pStyle w:val="8"/>
      </w:pPr>
    </w:p>
    <w:p>
      <w:pPr>
        <w:pStyle w:val="8"/>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sz w:val="28"/>
          <w:szCs w:val="28"/>
        </w:rPr>
      </w:pPr>
      <w:r>
        <w:rPr>
          <w:rFonts w:hint="default" w:ascii="黑体" w:hAnsi="黑体" w:eastAsia="黑体"/>
          <w:sz w:val="28"/>
          <w:szCs w:val="28"/>
          <w:lang w:val="en-US"/>
        </w:rPr>
        <mc:AlternateContent>
          <mc:Choice Requires="wps">
            <w:drawing>
              <wp:anchor distT="0" distB="0" distL="114300" distR="114300" simplePos="0" relativeHeight="251664384" behindDoc="0" locked="0" layoutInCell="1" allowOverlap="1">
                <wp:simplePos x="0" y="0"/>
                <wp:positionH relativeFrom="margin">
                  <wp:posOffset>-14605</wp:posOffset>
                </wp:positionH>
                <wp:positionV relativeFrom="topMargin">
                  <wp:posOffset>9133205</wp:posOffset>
                </wp:positionV>
                <wp:extent cx="6115050" cy="0"/>
                <wp:effectExtent l="0" t="0" r="19050" b="19050"/>
                <wp:wrapNone/>
                <wp:docPr id="8" name="AutoShape 13"/>
                <wp:cNvGraphicFramePr/>
                <a:graphic xmlns:a="http://schemas.openxmlformats.org/drawingml/2006/main">
                  <a:graphicData uri="http://schemas.microsoft.com/office/word/2010/wordprocessingShape">
                    <wps:wsp>
                      <wps:cNvCnPr>
                        <a:cxnSpLocks noChangeShapeType="1"/>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id="AutoShape 13" o:spid="_x0000_s1026" o:spt="32" type="#_x0000_t32" style="position:absolute;left:0pt;margin-left:69.75pt;margin-top:719.15pt;height:0pt;width:481.5pt;mso-position-horizontal-relative:page;mso-position-vertical-relative:page;z-index:251664384;mso-width-relative:page;mso-height-relative:page;" filled="f" stroked="t" coordsize="21600,21600" o:gfxdata="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vMgXH1gAAAAwBAAAPAAAAAAAAAAEAIAAA&#10;ACIAAABkcnMvZG93bnJldi54bWxQSwECFAAUAAAACACHTuJA+/4xqtUBAAC0AwAADgAAAAAAAAAB&#10;ACAAAAAlAQAAZHJzL2Uyb0RvYy54bWxQSwUGAAAAAAYABgBZAQAAbAUAAAAA&#10;">
                <v:fill on="f" focussize="0,0"/>
                <v:stroke weight="1pt" color="#000000" joinstyle="round"/>
                <v:imagedata o:title=""/>
                <o:lock v:ext="edit" aspectratio="f"/>
              </v:shape>
            </w:pict>
          </mc:Fallback>
        </mc:AlternateContent>
      </w:r>
      <w:r>
        <w:rPr>
          <w:rFonts w:hint="eastAsia" w:ascii="黑体" w:hAnsi="黑体" w:eastAsia="黑体"/>
          <w:sz w:val="28"/>
          <w:szCs w:val="28"/>
          <w:lang w:val="en-US" w:eastAsia="zh-CN"/>
        </w:rPr>
        <w:t>2024</w:t>
      </w:r>
      <w:r>
        <w:rPr>
          <w:rFonts w:hint="eastAsia" w:ascii="黑体" w:hAnsi="黑体" w:eastAsia="黑体"/>
          <w:sz w:val="28"/>
          <w:szCs w:val="28"/>
        </w:rPr>
        <w:t xml:space="preserve">-XX-XX发布                                       </w:t>
      </w:r>
      <w:r>
        <w:rPr>
          <w:rFonts w:hint="eastAsia" w:ascii="黑体" w:hAnsi="黑体" w:eastAsia="黑体"/>
          <w:sz w:val="28"/>
          <w:szCs w:val="28"/>
          <w:lang w:val="en-US" w:eastAsia="zh-CN"/>
        </w:rPr>
        <w:t>2024</w:t>
      </w:r>
      <w:r>
        <w:rPr>
          <w:rFonts w:hint="eastAsia" w:ascii="黑体" w:hAnsi="黑体" w:eastAsia="黑体"/>
          <w:sz w:val="28"/>
          <w:szCs w:val="28"/>
        </w:rPr>
        <w:t>-XX-XX实施</w:t>
      </w:r>
    </w:p>
    <w:p>
      <w:pPr>
        <w:keepNext w:val="0"/>
        <w:keepLines w:val="0"/>
        <w:pageBreakBefore w:val="0"/>
        <w:widowControl w:val="0"/>
        <w:kinsoku/>
        <w:wordWrap/>
        <w:overflowPunct/>
        <w:topLinePunct w:val="0"/>
        <w:autoSpaceDE/>
        <w:autoSpaceDN/>
        <w:bidi w:val="0"/>
        <w:adjustRightInd/>
        <w:snapToGrid/>
        <w:spacing w:line="1247" w:lineRule="exact"/>
        <w:jc w:val="center"/>
        <w:textAlignment w:val="auto"/>
        <w:outlineLvl w:val="9"/>
        <w:rPr>
          <w:rFonts w:hint="eastAsia" w:ascii="黑体" w:hAnsi="黑体" w:eastAsia="黑体"/>
          <w:sz w:val="28"/>
          <w:szCs w:val="28"/>
        </w:rPr>
      </w:pPr>
      <w:bookmarkStart w:id="0" w:name="_Toc18385"/>
      <w:bookmarkStart w:id="1" w:name="_Toc3547"/>
      <w:r>
        <w:rPr>
          <w:rFonts w:hint="eastAsia" w:ascii="方正小标宋_GBK" w:eastAsia="方正小标宋_GBK"/>
          <w:sz w:val="44"/>
          <w:szCs w:val="44"/>
        </w:rPr>
        <w:t>苏州市市场监督管理局</w:t>
      </w:r>
      <w:r>
        <w:rPr>
          <w:rFonts w:hint="eastAsia" w:ascii="方正小标宋_GBK" w:hAnsi="宋体" w:eastAsia="方正小标宋_GBK" w:cs="SimSun,Bold"/>
          <w:bCs/>
          <w:snapToGrid w:val="0"/>
          <w:kern w:val="0"/>
          <w:sz w:val="44"/>
          <w:szCs w:val="52"/>
        </w:rPr>
        <w:t xml:space="preserve">  </w:t>
      </w:r>
      <w:r>
        <w:rPr>
          <w:rFonts w:hint="eastAsia" w:ascii="黑体" w:hAnsi="黑体" w:eastAsia="黑体"/>
          <w:sz w:val="28"/>
          <w:szCs w:val="28"/>
        </w:rPr>
        <w:t>发 布</w:t>
      </w:r>
      <w:bookmarkEnd w:id="0"/>
      <w:bookmarkEnd w:id="1"/>
    </w:p>
    <w:p>
      <w:pPr>
        <w:pStyle w:val="8"/>
        <w:sectPr>
          <w:pgSz w:w="11906" w:h="16838"/>
          <w:pgMar w:top="567" w:right="851" w:bottom="1134" w:left="1418" w:header="0" w:footer="0" w:gutter="0"/>
          <w:cols w:space="425" w:num="1"/>
          <w:docGrid w:type="lines" w:linePitch="312" w:charSpace="0"/>
        </w:sectPr>
      </w:pPr>
    </w:p>
    <w:p>
      <w:pPr>
        <w:pStyle w:val="8"/>
      </w:pPr>
    </w:p>
    <w:p>
      <w:pPr>
        <w:rPr>
          <w:rFonts w:ascii="黑体" w:hAnsi="黑体" w:eastAsia="黑体"/>
          <w:sz w:val="28"/>
          <w:szCs w:val="28"/>
        </w:rPr>
        <w:sectPr>
          <w:footerReference r:id="rId3" w:type="default"/>
          <w:footerReference r:id="rId4" w:type="even"/>
          <w:pgSz w:w="11906" w:h="16838"/>
          <w:pgMar w:top="567" w:right="851" w:bottom="1134" w:left="1418" w:header="0" w:footer="0" w:gutter="0"/>
          <w:pgNumType w:start="1"/>
          <w:cols w:space="425" w:num="1"/>
          <w:docGrid w:type="lines" w:linePitch="312" w:charSpace="0"/>
        </w:sectPr>
      </w:pPr>
    </w:p>
    <w:p>
      <w:pPr>
        <w:snapToGrid w:val="0"/>
        <w:spacing w:before="567" w:after="680"/>
        <w:jc w:val="center"/>
        <w:rPr>
          <w:rFonts w:ascii="黑体" w:hAnsi="黑体" w:eastAsia="黑体"/>
          <w:sz w:val="32"/>
          <w:szCs w:val="32"/>
        </w:rPr>
      </w:pPr>
      <w:r>
        <w:rPr>
          <w:rFonts w:hint="eastAsia" w:ascii="黑体" w:hAnsi="黑体" w:eastAsia="黑体"/>
          <w:sz w:val="32"/>
          <w:szCs w:val="32"/>
        </w:rPr>
        <w:t>目</w:t>
      </w:r>
      <w:r>
        <w:rPr>
          <w:rFonts w:hint="eastAsia" w:ascii="黑体" w:hAnsi="黑体" w:eastAsia="黑体"/>
          <w:bCs/>
          <w:sz w:val="32"/>
          <w:szCs w:val="32"/>
        </w:rPr>
        <w:t xml:space="preserve">    </w:t>
      </w:r>
      <w:r>
        <w:rPr>
          <w:rFonts w:hint="eastAsia" w:ascii="黑体" w:hAnsi="黑体" w:eastAsia="黑体"/>
          <w:sz w:val="32"/>
          <w:szCs w:val="32"/>
        </w:rPr>
        <w:t>次</w:t>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TOC \o "1-3" \h \z \u </w:instrText>
      </w:r>
      <w:r>
        <w:rPr>
          <w:rFonts w:hint="eastAsia" w:ascii="宋体" w:hAnsi="宋体" w:eastAsia="宋体" w:cs="宋体"/>
          <w:szCs w:val="21"/>
        </w:rPr>
        <w:fldChar w:fldCharType="separate"/>
      </w:r>
      <w:r>
        <w:rPr>
          <w:rFonts w:hint="eastAsia" w:ascii="宋体" w:hAnsi="宋体" w:eastAsia="宋体" w:cs="宋体"/>
          <w:szCs w:val="21"/>
        </w:rPr>
        <w:fldChar w:fldCharType="begin"/>
      </w:r>
      <w:r>
        <w:rPr>
          <w:rFonts w:hint="eastAsia" w:ascii="宋体" w:hAnsi="宋体" w:eastAsia="宋体" w:cs="宋体"/>
          <w:szCs w:val="21"/>
        </w:rPr>
        <w:instrText xml:space="preserve"> HYPERLINK \l _Toc13175 </w:instrText>
      </w:r>
      <w:r>
        <w:rPr>
          <w:rFonts w:hint="eastAsia" w:ascii="宋体" w:hAnsi="宋体" w:eastAsia="宋体" w:cs="宋体"/>
          <w:szCs w:val="21"/>
        </w:rPr>
        <w:fldChar w:fldCharType="separate"/>
      </w:r>
      <w:r>
        <w:rPr>
          <w:rFonts w:hint="eastAsia" w:ascii="宋体" w:hAnsi="宋体" w:eastAsia="宋体" w:cs="宋体"/>
          <w:kern w:val="0"/>
          <w:szCs w:val="32"/>
          <w:lang w:val="en-US" w:eastAsia="zh-CN"/>
        </w:rPr>
        <w:t>前言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_Toc13175 \h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r>
        <w:rPr>
          <w:rFonts w:hint="eastAsia" w:ascii="宋体" w:hAnsi="宋体" w:eastAsia="宋体" w:cs="宋体"/>
          <w:szCs w:val="21"/>
        </w:rPr>
        <w:fldChar w:fldCharType="end"/>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_Toc16694 </w:instrText>
      </w:r>
      <w:r>
        <w:rPr>
          <w:rFonts w:hint="eastAsia" w:ascii="宋体" w:hAnsi="宋体" w:eastAsia="宋体" w:cs="宋体"/>
          <w:szCs w:val="21"/>
        </w:rPr>
        <w:fldChar w:fldCharType="separate"/>
      </w:r>
      <w:r>
        <w:rPr>
          <w:rFonts w:hint="eastAsia" w:ascii="宋体" w:hAnsi="宋体" w:eastAsia="宋体" w:cs="宋体"/>
          <w:i w:val="0"/>
        </w:rPr>
        <w:t xml:space="preserve">1 </w:t>
      </w:r>
      <w:r>
        <w:rPr>
          <w:rFonts w:hint="eastAsia" w:ascii="宋体" w:hAnsi="宋体" w:eastAsia="宋体" w:cs="宋体"/>
          <w:i w:val="0"/>
          <w:lang w:val="en-US" w:eastAsia="zh-CN"/>
        </w:rPr>
        <w:t xml:space="preserve">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_Toc16694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_Toc23718 </w:instrText>
      </w:r>
      <w:r>
        <w:rPr>
          <w:rFonts w:hint="eastAsia" w:ascii="宋体" w:hAnsi="宋体" w:eastAsia="宋体" w:cs="宋体"/>
          <w:szCs w:val="21"/>
        </w:rPr>
        <w:fldChar w:fldCharType="separate"/>
      </w:r>
      <w:r>
        <w:rPr>
          <w:rFonts w:hint="eastAsia" w:ascii="宋体" w:hAnsi="宋体" w:eastAsia="宋体" w:cs="宋体"/>
          <w:i w:val="0"/>
        </w:rPr>
        <w:t xml:space="preserve">2 </w:t>
      </w:r>
      <w:r>
        <w:rPr>
          <w:rFonts w:hint="eastAsia" w:ascii="宋体" w:hAnsi="宋体" w:eastAsia="宋体" w:cs="宋体"/>
          <w:i w:val="0"/>
          <w:lang w:val="en-US" w:eastAsia="zh-CN"/>
        </w:rPr>
        <w:t xml:space="preserve"> </w:t>
      </w:r>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_Toc23718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_Toc5694 </w:instrText>
      </w:r>
      <w:r>
        <w:rPr>
          <w:rFonts w:hint="eastAsia" w:ascii="宋体" w:hAnsi="宋体" w:eastAsia="宋体" w:cs="宋体"/>
          <w:szCs w:val="21"/>
        </w:rPr>
        <w:fldChar w:fldCharType="separate"/>
      </w:r>
      <w:r>
        <w:rPr>
          <w:rFonts w:hint="eastAsia" w:ascii="宋体" w:hAnsi="宋体" w:eastAsia="宋体" w:cs="宋体"/>
          <w:i w:val="0"/>
        </w:rPr>
        <w:t xml:space="preserve">3 </w:t>
      </w:r>
      <w:r>
        <w:rPr>
          <w:rFonts w:hint="eastAsia" w:ascii="宋体" w:hAnsi="宋体" w:eastAsia="宋体" w:cs="宋体"/>
          <w:i w:val="0"/>
          <w:lang w:val="en-US" w:eastAsia="zh-CN"/>
        </w:rPr>
        <w:t xml:space="preserve"> </w:t>
      </w:r>
      <w:r>
        <w:rPr>
          <w:rFonts w:hint="eastAsia" w:ascii="宋体" w:hAnsi="宋体" w:eastAsia="宋体" w:cs="宋体"/>
          <w:szCs w:val="21"/>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_Toc5694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_Toc30703 </w:instrText>
      </w:r>
      <w:r>
        <w:rPr>
          <w:rFonts w:hint="eastAsia" w:ascii="宋体" w:hAnsi="宋体" w:eastAsia="宋体" w:cs="宋体"/>
          <w:szCs w:val="21"/>
        </w:rPr>
        <w:fldChar w:fldCharType="separate"/>
      </w:r>
      <w:r>
        <w:rPr>
          <w:rFonts w:hint="eastAsia" w:ascii="宋体" w:hAnsi="宋体" w:eastAsia="宋体" w:cs="宋体"/>
          <w:i w:val="0"/>
        </w:rPr>
        <w:t xml:space="preserve">4 </w:t>
      </w:r>
      <w:r>
        <w:rPr>
          <w:rFonts w:hint="eastAsia" w:ascii="宋体" w:hAnsi="宋体" w:eastAsia="宋体" w:cs="宋体"/>
          <w:i w:val="0"/>
          <w:lang w:val="en-US" w:eastAsia="zh-CN"/>
        </w:rPr>
        <w:t xml:space="preserve"> </w:t>
      </w:r>
      <w:r>
        <w:rPr>
          <w:rFonts w:hint="eastAsia" w:ascii="宋体" w:hAnsi="宋体" w:eastAsia="宋体" w:cs="宋体"/>
        </w:rPr>
        <w:t>基本要求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_Toc30703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_Toc20697 </w:instrText>
      </w:r>
      <w:r>
        <w:rPr>
          <w:rFonts w:hint="eastAsia" w:ascii="宋体" w:hAnsi="宋体" w:eastAsia="宋体" w:cs="宋体"/>
          <w:szCs w:val="21"/>
        </w:rPr>
        <w:fldChar w:fldCharType="separate"/>
      </w:r>
      <w:r>
        <w:rPr>
          <w:rFonts w:hint="eastAsia" w:ascii="宋体" w:hAnsi="宋体" w:eastAsia="宋体" w:cs="宋体"/>
          <w:i w:val="0"/>
        </w:rPr>
        <w:t xml:space="preserve">5 </w:t>
      </w:r>
      <w:r>
        <w:rPr>
          <w:rFonts w:hint="eastAsia" w:ascii="宋体" w:hAnsi="宋体" w:eastAsia="宋体" w:cs="宋体"/>
          <w:i w:val="0"/>
          <w:lang w:val="en-US" w:eastAsia="zh-CN"/>
        </w:rPr>
        <w:t xml:space="preserve"> </w:t>
      </w:r>
      <w:r>
        <w:rPr>
          <w:rFonts w:hint="eastAsia" w:ascii="宋体" w:hAnsi="宋体" w:eastAsia="宋体" w:cs="宋体"/>
        </w:rPr>
        <w:t>制度</w:t>
      </w:r>
      <w:r>
        <w:rPr>
          <w:rFonts w:hint="eastAsia" w:ascii="宋体" w:hAnsi="宋体" w:eastAsia="宋体" w:cs="宋体"/>
          <w:lang w:val="en-US" w:eastAsia="zh-CN"/>
        </w:rPr>
        <w:t>约束</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_Toc20697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_Toc4053 </w:instrText>
      </w:r>
      <w:r>
        <w:rPr>
          <w:rFonts w:hint="eastAsia" w:ascii="宋体" w:hAnsi="宋体" w:eastAsia="宋体" w:cs="宋体"/>
          <w:szCs w:val="21"/>
        </w:rPr>
        <w:fldChar w:fldCharType="separate"/>
      </w:r>
      <w:r>
        <w:rPr>
          <w:rFonts w:hint="eastAsia" w:ascii="宋体" w:hAnsi="宋体" w:eastAsia="宋体" w:cs="宋体"/>
          <w:i w:val="0"/>
        </w:rPr>
        <w:t xml:space="preserve">6 </w:t>
      </w:r>
      <w:r>
        <w:rPr>
          <w:rFonts w:hint="eastAsia" w:ascii="宋体" w:hAnsi="宋体" w:eastAsia="宋体" w:cs="宋体"/>
          <w:i w:val="0"/>
          <w:lang w:val="en-US" w:eastAsia="zh-CN"/>
        </w:rPr>
        <w:t xml:space="preserve"> </w:t>
      </w:r>
      <w:r>
        <w:rPr>
          <w:rFonts w:hint="eastAsia" w:ascii="宋体" w:hAnsi="宋体" w:eastAsia="宋体" w:cs="宋体"/>
        </w:rPr>
        <w:t>管理部门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_Toc4053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_Toc27305 </w:instrText>
      </w:r>
      <w:r>
        <w:rPr>
          <w:rFonts w:hint="eastAsia" w:ascii="宋体" w:hAnsi="宋体" w:eastAsia="宋体" w:cs="宋体"/>
          <w:szCs w:val="21"/>
        </w:rPr>
        <w:fldChar w:fldCharType="separate"/>
      </w:r>
      <w:r>
        <w:rPr>
          <w:rFonts w:hint="eastAsia" w:ascii="宋体" w:hAnsi="宋体" w:eastAsia="宋体" w:cs="宋体"/>
          <w:i w:val="0"/>
        </w:rPr>
        <w:t xml:space="preserve">7 </w:t>
      </w:r>
      <w:r>
        <w:rPr>
          <w:rFonts w:hint="eastAsia" w:ascii="宋体" w:hAnsi="宋体" w:eastAsia="宋体" w:cs="宋体"/>
          <w:i w:val="0"/>
          <w:lang w:val="en-US" w:eastAsia="zh-CN"/>
        </w:rPr>
        <w:t xml:space="preserve"> </w:t>
      </w:r>
      <w:r>
        <w:rPr>
          <w:rFonts w:hint="eastAsia" w:ascii="宋体" w:hAnsi="宋体" w:eastAsia="宋体" w:cs="宋体"/>
        </w:rPr>
        <w:t>工作内容</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_Toc27305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_Toc29703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7.1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能耗统计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_Toc29703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_Toc9928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7.2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定期报送</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_Toc9928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_Toc3238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7.3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定额管理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_Toc3238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_Toc24732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7.4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能源审计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_Toc24732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_Toc5172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7.5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更新改造</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_Toc5172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_Toc27251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7.6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产品采购</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_Toc27251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_Toc22104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7.7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宣传培训</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_Toc22104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szCs w:val="21"/>
        </w:rPr>
        <w:fldChar w:fldCharType="end"/>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_Toc16818 </w:instrText>
      </w:r>
      <w:r>
        <w:rPr>
          <w:rFonts w:hint="eastAsia" w:ascii="宋体" w:hAnsi="宋体" w:eastAsia="宋体" w:cs="宋体"/>
          <w:szCs w:val="21"/>
        </w:rPr>
        <w:fldChar w:fldCharType="separate"/>
      </w:r>
      <w:r>
        <w:rPr>
          <w:rFonts w:hint="eastAsia" w:ascii="宋体" w:hAnsi="宋体" w:eastAsia="宋体" w:cs="宋体"/>
          <w:i w:val="0"/>
        </w:rPr>
        <w:t xml:space="preserve">8 </w:t>
      </w:r>
      <w:r>
        <w:rPr>
          <w:rFonts w:hint="eastAsia" w:ascii="宋体" w:hAnsi="宋体" w:eastAsia="宋体" w:cs="宋体"/>
          <w:i w:val="0"/>
          <w:lang w:val="en-US" w:eastAsia="zh-CN"/>
        </w:rPr>
        <w:t xml:space="preserve"> </w:t>
      </w:r>
      <w:r>
        <w:rPr>
          <w:rFonts w:hint="eastAsia" w:ascii="宋体" w:hAnsi="宋体" w:eastAsia="宋体" w:cs="宋体"/>
        </w:rPr>
        <w:t>日常节能要求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_Toc16818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_Toc16821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8.1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用电要求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_Toc16821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_Toc8783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8.2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用水要求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_Toc8783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_Toc423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8.3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用气要求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_Toc423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_Toc31644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8.4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用材要求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_Toc31644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_Toc2484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8.5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rPr>
        <w:t>用车要求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_Toc2484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_Toc29888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8.6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新能源应用要求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_Toc29888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_Toc31458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8.7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lang w:val="en-US" w:eastAsia="zh-CN"/>
        </w:rPr>
        <w:t>生活</w:t>
      </w:r>
      <w:r>
        <w:rPr>
          <w:rFonts w:hint="eastAsia" w:ascii="宋体" w:hAnsi="宋体" w:eastAsia="宋体" w:cs="宋体"/>
        </w:rPr>
        <w:t>垃圾分类要求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_Toc31458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szCs w:val="21"/>
        </w:rPr>
        <w:fldChar w:fldCharType="end"/>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_Toc32288 </w:instrText>
      </w:r>
      <w:r>
        <w:rPr>
          <w:rFonts w:hint="eastAsia" w:ascii="宋体" w:hAnsi="宋体" w:eastAsia="宋体" w:cs="宋体"/>
          <w:szCs w:val="21"/>
        </w:rPr>
        <w:fldChar w:fldCharType="separate"/>
      </w:r>
      <w:r>
        <w:rPr>
          <w:rFonts w:hint="eastAsia" w:ascii="宋体" w:hAnsi="宋体" w:eastAsia="宋体" w:cs="宋体"/>
          <w:i w:val="0"/>
        </w:rPr>
        <w:t xml:space="preserve">9 </w:t>
      </w:r>
      <w:r>
        <w:rPr>
          <w:rFonts w:hint="eastAsia" w:ascii="宋体" w:hAnsi="宋体" w:eastAsia="宋体" w:cs="宋体"/>
          <w:i w:val="0"/>
          <w:lang w:val="en-US" w:eastAsia="zh-CN"/>
        </w:rPr>
        <w:t xml:space="preserve"> </w:t>
      </w:r>
      <w:r>
        <w:rPr>
          <w:rFonts w:hint="eastAsia" w:ascii="宋体" w:hAnsi="宋体" w:eastAsia="宋体" w:cs="宋体"/>
        </w:rPr>
        <w:t>节能监督</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_Toc32288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_Toc12586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9.1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监督方式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_Toc12586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_Toc10411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9.2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自我检查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_Toc10411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_Toc31606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9.3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节能行业主管部门监督检查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_Toc31606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_Toc21920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9.4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社会监督</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_Toc21920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szCs w:val="21"/>
        </w:rPr>
        <w:fldChar w:fldCharType="end"/>
      </w:r>
    </w:p>
    <w:p>
      <w:pPr>
        <w:keepNext w:val="0"/>
        <w:keepLines w:val="0"/>
        <w:pageBreakBefore w:val="0"/>
        <w:widowControl w:val="0"/>
        <w:kinsoku/>
        <w:wordWrap/>
        <w:overflowPunct/>
        <w:topLinePunct w:val="0"/>
        <w:autoSpaceDE/>
        <w:autoSpaceDN/>
        <w:bidi w:val="0"/>
        <w:adjustRightInd/>
        <w:snapToGrid w:val="0"/>
        <w:jc w:val="left"/>
        <w:textAlignment w:val="auto"/>
        <w:rPr>
          <w:rFonts w:ascii="宋体" w:hAnsi="宋体" w:eastAsia="宋体" w:cs="宋体"/>
          <w:szCs w:val="21"/>
        </w:rPr>
      </w:pPr>
      <w:r>
        <w:rPr>
          <w:rFonts w:hint="eastAsia" w:ascii="宋体" w:hAnsi="宋体" w:eastAsia="宋体" w:cs="宋体"/>
          <w:szCs w:val="21"/>
        </w:rPr>
        <w:fldChar w:fldCharType="end"/>
      </w:r>
    </w:p>
    <w:p>
      <w:pPr>
        <w:pStyle w:val="8"/>
        <w:rPr>
          <w:rFonts w:ascii="宋体" w:hAnsi="宋体" w:eastAsia="宋体" w:cs="宋体"/>
          <w:szCs w:val="21"/>
        </w:rPr>
      </w:pPr>
    </w:p>
    <w:p>
      <w:pPr>
        <w:pStyle w:val="8"/>
        <w:rPr>
          <w:rFonts w:ascii="宋体" w:hAnsi="宋体" w:eastAsia="宋体" w:cs="宋体"/>
          <w:szCs w:val="21"/>
        </w:rPr>
      </w:pPr>
    </w:p>
    <w:p>
      <w:pPr>
        <w:pStyle w:val="8"/>
        <w:rPr>
          <w:rFonts w:ascii="宋体" w:hAnsi="宋体" w:eastAsia="宋体" w:cs="宋体"/>
          <w:szCs w:val="21"/>
        </w:rPr>
      </w:pPr>
    </w:p>
    <w:p>
      <w:pPr>
        <w:pStyle w:val="49"/>
        <w:keepNext w:val="0"/>
        <w:keepLines w:val="0"/>
        <w:pageBreakBefore w:val="0"/>
        <w:widowControl/>
        <w:shd w:val="clear"/>
        <w:kinsoku/>
        <w:wordWrap/>
        <w:overflowPunct/>
        <w:topLinePunct w:val="0"/>
        <w:autoSpaceDE/>
        <w:autoSpaceDN/>
        <w:bidi w:val="0"/>
        <w:adjustRightInd/>
        <w:snapToGrid/>
        <w:spacing w:before="567" w:after="680" w:afterLines="0"/>
        <w:ind w:left="425" w:hanging="425"/>
        <w:textAlignment w:val="auto"/>
        <w:rPr>
          <w:spacing w:val="320"/>
          <w:highlight w:val="none"/>
        </w:rPr>
        <w:sectPr>
          <w:headerReference r:id="rId5" w:type="default"/>
          <w:footerReference r:id="rId7" w:type="default"/>
          <w:headerReference r:id="rId6" w:type="even"/>
          <w:footerReference r:id="rId8" w:type="even"/>
          <w:pgSz w:w="11906" w:h="16838"/>
          <w:pgMar w:top="1417" w:right="1134" w:bottom="1134" w:left="1418" w:header="1417" w:footer="1134" w:gutter="0"/>
          <w:pgNumType w:fmt="upperRoman" w:start="1"/>
          <w:cols w:space="425" w:num="1"/>
          <w:docGrid w:type="lines" w:linePitch="312" w:charSpace="0"/>
        </w:sectPr>
      </w:pPr>
    </w:p>
    <w:p>
      <w:pPr>
        <w:pStyle w:val="8"/>
        <w:sectPr>
          <w:footerReference r:id="rId9" w:type="default"/>
          <w:footerReference r:id="rId10" w:type="even"/>
          <w:pgSz w:w="11906" w:h="16838"/>
          <w:pgMar w:top="1417" w:right="1134" w:bottom="1134" w:left="1418" w:header="1417" w:footer="1134" w:gutter="0"/>
          <w:pgNumType w:fmt="upperRoman"/>
          <w:cols w:space="425" w:num="1"/>
          <w:docGrid w:type="lines" w:linePitch="312" w:charSpace="0"/>
        </w:sectPr>
      </w:pPr>
    </w:p>
    <w:p>
      <w:pPr>
        <w:keepNext w:val="0"/>
        <w:keepLines w:val="0"/>
        <w:pageBreakBefore w:val="0"/>
        <w:widowControl w:val="0"/>
        <w:shd w:val="clear"/>
        <w:kinsoku/>
        <w:wordWrap/>
        <w:overflowPunct/>
        <w:topLinePunct w:val="0"/>
        <w:autoSpaceDE/>
        <w:autoSpaceDN/>
        <w:bidi w:val="0"/>
        <w:adjustRightInd/>
        <w:snapToGrid w:val="0"/>
        <w:spacing w:before="567" w:after="680"/>
        <w:ind w:firstLine="0" w:firstLineChars="0"/>
        <w:jc w:val="center"/>
        <w:textAlignment w:val="auto"/>
        <w:outlineLvl w:val="0"/>
        <w:rPr>
          <w:rFonts w:hint="eastAsia" w:ascii="黑体" w:hAnsi="黑体" w:eastAsia="黑体" w:cs="黑体"/>
          <w:kern w:val="0"/>
          <w:sz w:val="32"/>
          <w:szCs w:val="32"/>
          <w:lang w:val="en-US" w:eastAsia="zh-CN"/>
        </w:rPr>
      </w:pPr>
      <w:bookmarkStart w:id="2" w:name="_Toc13175"/>
      <w:r>
        <w:rPr>
          <w:rFonts w:hint="eastAsia" w:ascii="黑体" w:hAnsi="黑体" w:eastAsia="黑体" w:cs="黑体"/>
          <w:kern w:val="0"/>
          <w:sz w:val="32"/>
          <w:szCs w:val="32"/>
          <w:lang w:val="en-US" w:eastAsia="zh-CN"/>
        </w:rPr>
        <w:t>前    言</w:t>
      </w:r>
      <w:bookmarkEnd w:id="2"/>
    </w:p>
    <w:p>
      <w:pPr>
        <w:pStyle w:val="67"/>
        <w:ind w:firstLine="420"/>
      </w:pPr>
      <w:r>
        <w:rPr>
          <w:rFonts w:hint="eastAsia"/>
        </w:rPr>
        <w:t>本文件按照GB/T 1.1—2020《标准化工作导则  第1部分：标准化文件的结构和起草规则》的规定起草。</w:t>
      </w:r>
    </w:p>
    <w:p>
      <w:pPr>
        <w:pStyle w:val="67"/>
        <w:ind w:firstLine="420"/>
      </w:pPr>
      <w:r>
        <w:rPr>
          <w:rFonts w:hint="eastAsia"/>
        </w:rPr>
        <w:t>请注意本文件的某些内容可能涉及专利。本文件的发布机构不承担识别专利的责任。</w:t>
      </w:r>
    </w:p>
    <w:p>
      <w:pPr>
        <w:pStyle w:val="67"/>
        <w:ind w:firstLine="420"/>
      </w:pPr>
      <w:r>
        <w:rPr>
          <w:rFonts w:hint="eastAsia"/>
        </w:rPr>
        <w:t>本文件由苏州市机关事务管理局提出、归口并组织实施。</w:t>
      </w:r>
    </w:p>
    <w:p>
      <w:pPr>
        <w:pStyle w:val="67"/>
        <w:ind w:firstLine="420"/>
        <w:rPr>
          <w:rFonts w:hint="eastAsia" w:eastAsia="宋体"/>
          <w:lang w:eastAsia="zh-CN"/>
        </w:rPr>
      </w:pPr>
      <w:r>
        <w:rPr>
          <w:rFonts w:hint="eastAsia"/>
        </w:rPr>
        <w:t>本文件起草单位：</w:t>
      </w:r>
      <w:r>
        <w:rPr>
          <w:rFonts w:hint="eastAsia"/>
          <w:lang w:val="en-US" w:eastAsia="zh-CN"/>
        </w:rPr>
        <w:t>苏州市</w:t>
      </w:r>
      <w:r>
        <w:rPr>
          <w:rFonts w:hint="eastAsia"/>
        </w:rPr>
        <w:t>吴中区区级机关事务管理中心、苏州工业园区机关事务管理中心有限公司、常熟市市级机关事务管理中心、太仓市机关事务中心、苏州市质量和标准化院、苏州爱博斯蒂低碳能源技术有限公司、吴江区机关事务管理中心、相城区机关事务管理中心</w:t>
      </w:r>
      <w:r>
        <w:rPr>
          <w:rFonts w:hint="eastAsia"/>
          <w:lang w:eastAsia="zh-CN"/>
        </w:rPr>
        <w:t>。</w:t>
      </w:r>
      <w:bookmarkStart w:id="181" w:name="_GoBack"/>
      <w:bookmarkEnd w:id="181"/>
    </w:p>
    <w:p>
      <w:pPr>
        <w:pStyle w:val="67"/>
        <w:ind w:firstLine="420"/>
      </w:pPr>
      <w:r>
        <w:rPr>
          <w:rFonts w:hint="eastAsia"/>
        </w:rPr>
        <w:t>本文件主要起草人：沈亚民、方艳、李辰、宋冠芳、居军卓、刘琦、洪良纯、沈丹丹、王影、王胜军、童坚、谢晓烽。</w:t>
      </w:r>
    </w:p>
    <w:p>
      <w:pPr>
        <w:shd w:val="clear"/>
        <w:snapToGrid w:val="0"/>
        <w:ind w:firstLine="420" w:firstLineChars="200"/>
        <w:rPr>
          <w:rFonts w:hint="eastAsia" w:ascii="宋体" w:hAnsi="宋体" w:eastAsia="宋体" w:cs="宋体"/>
          <w:kern w:val="0"/>
          <w:szCs w:val="21"/>
          <w:lang w:eastAsia="zh-CN"/>
        </w:rPr>
      </w:pPr>
    </w:p>
    <w:p>
      <w:pPr>
        <w:snapToGrid w:val="0"/>
        <w:ind w:firstLine="420" w:firstLineChars="200"/>
        <w:rPr>
          <w:rFonts w:ascii="宋体" w:hAnsi="宋体" w:eastAsia="宋体" w:cs="宋体"/>
          <w:kern w:val="0"/>
          <w:szCs w:val="21"/>
        </w:rPr>
        <w:sectPr>
          <w:footerReference r:id="rId12" w:type="default"/>
          <w:headerReference r:id="rId11" w:type="even"/>
          <w:footerReference r:id="rId13" w:type="even"/>
          <w:pgSz w:w="11906" w:h="16838"/>
          <w:pgMar w:top="1417" w:right="1134" w:bottom="1134" w:left="1418" w:header="1417" w:footer="1134" w:gutter="0"/>
          <w:pgNumType w:fmt="upperRoman" w:start="2"/>
          <w:cols w:space="425" w:num="1"/>
          <w:docGrid w:type="lines" w:linePitch="312" w:charSpace="0"/>
        </w:sectPr>
      </w:pPr>
    </w:p>
    <w:p>
      <w:pPr>
        <w:pStyle w:val="8"/>
      </w:pPr>
    </w:p>
    <w:p>
      <w:pPr>
        <w:widowControl/>
        <w:rPr>
          <w:rFonts w:ascii="黑体" w:hAnsi="黑体" w:eastAsia="黑体"/>
          <w:bCs/>
          <w:sz w:val="32"/>
          <w:szCs w:val="32"/>
        </w:rPr>
        <w:sectPr>
          <w:headerReference r:id="rId14" w:type="default"/>
          <w:footerReference r:id="rId16" w:type="default"/>
          <w:headerReference r:id="rId15" w:type="even"/>
          <w:footerReference r:id="rId17" w:type="even"/>
          <w:pgSz w:w="11906" w:h="16838"/>
          <w:pgMar w:top="1417" w:right="1134" w:bottom="1134" w:left="1418" w:header="1417" w:footer="1134" w:gutter="0"/>
          <w:pgNumType w:fmt="upperRoman"/>
          <w:cols w:space="425" w:num="1"/>
          <w:docGrid w:type="lines" w:linePitch="312" w:charSpace="0"/>
        </w:sectPr>
      </w:pPr>
      <w:bookmarkStart w:id="3" w:name="SectionMark4"/>
    </w:p>
    <w:p>
      <w:pPr>
        <w:widowControl/>
        <w:spacing w:before="567" w:after="680"/>
        <w:jc w:val="center"/>
        <w:rPr>
          <w:rFonts w:hint="default" w:ascii="黑体" w:hAnsi="黑体" w:eastAsia="黑体"/>
          <w:bCs/>
          <w:sz w:val="32"/>
          <w:szCs w:val="32"/>
          <w:lang w:val="en-US" w:eastAsia="zh-CN"/>
        </w:rPr>
      </w:pPr>
      <w:r>
        <w:rPr>
          <w:rFonts w:hint="eastAsia" w:ascii="黑体" w:hAnsi="宋体" w:eastAsia="黑体"/>
          <w:sz w:val="32"/>
          <w:szCs w:val="32"/>
          <w:lang w:val="en-US" w:eastAsia="zh-CN"/>
        </w:rPr>
        <w:t>公共机构节能管理规范</w:t>
      </w:r>
    </w:p>
    <w:bookmarkEnd w:id="3"/>
    <w:p>
      <w:pPr>
        <w:pStyle w:val="66"/>
        <w:spacing w:before="312" w:after="312"/>
      </w:pPr>
      <w:bookmarkStart w:id="4" w:name="_Toc154390256"/>
      <w:bookmarkStart w:id="5" w:name="_Toc26986530"/>
      <w:bookmarkStart w:id="6" w:name="_Toc159856828"/>
      <w:bookmarkStart w:id="7" w:name="_Toc26718930"/>
      <w:bookmarkStart w:id="8" w:name="_Toc16694"/>
      <w:bookmarkStart w:id="9" w:name="_Toc97191423"/>
      <w:bookmarkStart w:id="10" w:name="_Toc26986771"/>
      <w:bookmarkStart w:id="11" w:name="_Toc17233325"/>
      <w:bookmarkStart w:id="12" w:name="_Toc17600"/>
      <w:bookmarkStart w:id="13" w:name="_Toc24884211"/>
      <w:bookmarkStart w:id="14" w:name="_Toc24884218"/>
      <w:bookmarkStart w:id="15" w:name="_Toc151560257"/>
      <w:bookmarkStart w:id="16" w:name="_Toc148086978"/>
      <w:bookmarkStart w:id="17" w:name="_Toc17233333"/>
      <w:bookmarkStart w:id="18" w:name="_Toc26648465"/>
      <w:r>
        <w:rPr>
          <w:rFonts w:hint="eastAsia"/>
        </w:rPr>
        <w:t>范围</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pStyle w:val="67"/>
        <w:ind w:firstLine="420"/>
      </w:pPr>
      <w:bookmarkStart w:id="19" w:name="_Toc26648466"/>
      <w:bookmarkStart w:id="20" w:name="_Toc17233334"/>
      <w:bookmarkStart w:id="21" w:name="_Toc24884219"/>
      <w:bookmarkStart w:id="22" w:name="_Toc24884212"/>
      <w:bookmarkStart w:id="23" w:name="_Toc17233326"/>
      <w:r>
        <w:rPr>
          <w:rFonts w:hint="eastAsia"/>
        </w:rPr>
        <w:t>本文件规定了公共</w:t>
      </w:r>
      <w:r>
        <w:t>机构节能管理的基本要求、制度建设、</w:t>
      </w:r>
      <w:r>
        <w:rPr>
          <w:rFonts w:hint="eastAsia"/>
        </w:rPr>
        <w:t>管理</w:t>
      </w:r>
      <w:r>
        <w:t>部门、工作内容、</w:t>
      </w:r>
      <w:r>
        <w:rPr>
          <w:rFonts w:hint="eastAsia"/>
        </w:rPr>
        <w:t>日常节能</w:t>
      </w:r>
      <w:r>
        <w:t>要求</w:t>
      </w:r>
      <w:r>
        <w:rPr>
          <w:rFonts w:hint="eastAsia"/>
        </w:rPr>
        <w:t>和</w:t>
      </w:r>
      <w:r>
        <w:t>节能监督等内容。</w:t>
      </w:r>
    </w:p>
    <w:p>
      <w:pPr>
        <w:pStyle w:val="67"/>
        <w:ind w:firstLine="420"/>
      </w:pPr>
      <w:r>
        <w:rPr>
          <w:rFonts w:hint="eastAsia"/>
        </w:rPr>
        <w:t>本文件适用于公共</w:t>
      </w:r>
      <w:r>
        <w:t>机构开展节能管理工作。</w:t>
      </w:r>
    </w:p>
    <w:p>
      <w:pPr>
        <w:pStyle w:val="66"/>
        <w:spacing w:before="312" w:after="312"/>
      </w:pPr>
      <w:bookmarkStart w:id="24" w:name="_Toc151560258"/>
      <w:bookmarkStart w:id="25" w:name="_Toc26718931"/>
      <w:bookmarkStart w:id="26" w:name="_Toc26986531"/>
      <w:bookmarkStart w:id="27" w:name="_Toc23718"/>
      <w:bookmarkStart w:id="28" w:name="_Toc159856829"/>
      <w:bookmarkStart w:id="29" w:name="_Toc97191424"/>
      <w:bookmarkStart w:id="30" w:name="_Toc148086979"/>
      <w:bookmarkStart w:id="31" w:name="_Toc26986772"/>
      <w:bookmarkStart w:id="32" w:name="_Toc154390257"/>
      <w:bookmarkStart w:id="33" w:name="_Toc18133"/>
      <w:r>
        <w:rPr>
          <w:rFonts w:hint="eastAsia"/>
        </w:rPr>
        <w:t>规范性引用文件</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dt>
      <w:sdtPr>
        <w:rPr>
          <w:rFonts w:hint="eastAsia"/>
        </w:rPr>
        <w:id w:val="715848253"/>
        <w:placeholder>
          <w:docPart w:val="{ef263e90-4452-4842-bcd9-045b07dffb7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p>
          <w:pPr>
            <w:pStyle w:val="67"/>
            <w:ind w:firstLine="420"/>
            <w:rPr>
              <w:color w:val="auto"/>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hint="eastAsia"/>
              <w:color w:val="auto"/>
            </w:rPr>
            <w:t>。</w:t>
          </w:r>
        </w:p>
      </w:sdtContent>
    </w:sdt>
    <w:p>
      <w:pPr>
        <w:pStyle w:val="67"/>
        <w:ind w:firstLine="420"/>
        <w:rPr>
          <w:color w:val="auto"/>
        </w:rPr>
      </w:pPr>
      <w:r>
        <w:rPr>
          <w:color w:val="auto"/>
        </w:rPr>
        <w:t>GB/T 13462  电力变压器经济运行</w:t>
      </w:r>
    </w:p>
    <w:p>
      <w:pPr>
        <w:pStyle w:val="67"/>
        <w:ind w:firstLine="420"/>
        <w:rPr>
          <w:color w:val="auto"/>
        </w:rPr>
      </w:pPr>
      <w:r>
        <w:rPr>
          <w:color w:val="auto"/>
        </w:rPr>
        <w:t>GB</w:t>
      </w:r>
      <w:r>
        <w:rPr>
          <w:rFonts w:hint="eastAsia"/>
          <w:color w:val="auto"/>
        </w:rPr>
        <w:t>/</w:t>
      </w:r>
      <w:r>
        <w:rPr>
          <w:color w:val="auto"/>
        </w:rPr>
        <w:t>T 18292  生活锅炉经济运行</w:t>
      </w:r>
    </w:p>
    <w:p>
      <w:pPr>
        <w:pStyle w:val="67"/>
        <w:ind w:firstLine="420"/>
        <w:rPr>
          <w:color w:val="auto"/>
        </w:rPr>
      </w:pPr>
      <w:r>
        <w:rPr>
          <w:color w:val="auto"/>
        </w:rPr>
        <w:t xml:space="preserve">GB/T 24915  </w:t>
      </w:r>
      <w:r>
        <w:rPr>
          <w:rFonts w:hint="eastAsia"/>
          <w:color w:val="auto"/>
        </w:rPr>
        <w:t>合同</w:t>
      </w:r>
      <w:r>
        <w:rPr>
          <w:color w:val="auto"/>
        </w:rPr>
        <w:t>能源管理技术通则</w:t>
      </w:r>
    </w:p>
    <w:p>
      <w:pPr>
        <w:pStyle w:val="67"/>
        <w:ind w:firstLine="420"/>
        <w:rPr>
          <w:color w:val="auto"/>
        </w:rPr>
      </w:pPr>
      <w:r>
        <w:rPr>
          <w:color w:val="auto"/>
        </w:rPr>
        <w:t xml:space="preserve">GB/T 29149  </w:t>
      </w:r>
      <w:r>
        <w:rPr>
          <w:rFonts w:hint="eastAsia"/>
          <w:color w:val="auto"/>
        </w:rPr>
        <w:t>公共</w:t>
      </w:r>
      <w:r>
        <w:rPr>
          <w:color w:val="auto"/>
        </w:rPr>
        <w:t>机构能源资源计量器具配备和管理要求</w:t>
      </w:r>
    </w:p>
    <w:p>
      <w:pPr>
        <w:pStyle w:val="67"/>
        <w:tabs>
          <w:tab w:val="left" w:pos="3969"/>
        </w:tabs>
        <w:ind w:firstLine="420"/>
        <w:rPr>
          <w:color w:val="auto"/>
        </w:rPr>
      </w:pPr>
      <w:r>
        <w:rPr>
          <w:rFonts w:hint="eastAsia"/>
          <w:color w:val="auto"/>
        </w:rPr>
        <w:t>GB</w:t>
      </w:r>
      <w:r>
        <w:rPr>
          <w:color w:val="auto"/>
        </w:rPr>
        <w:t xml:space="preserve">/T 29455  </w:t>
      </w:r>
      <w:r>
        <w:rPr>
          <w:rFonts w:hint="eastAsia"/>
          <w:color w:val="auto"/>
        </w:rPr>
        <w:t>照明</w:t>
      </w:r>
      <w:r>
        <w:rPr>
          <w:color w:val="auto"/>
        </w:rPr>
        <w:t>设施经济运行</w:t>
      </w:r>
    </w:p>
    <w:p>
      <w:pPr>
        <w:pStyle w:val="67"/>
        <w:ind w:firstLine="420"/>
        <w:rPr>
          <w:color w:val="auto"/>
        </w:rPr>
      </w:pPr>
      <w:r>
        <w:rPr>
          <w:color w:val="auto"/>
        </w:rPr>
        <w:t>GB/</w:t>
      </w:r>
      <w:r>
        <w:rPr>
          <w:rFonts w:hint="eastAsia"/>
          <w:color w:val="auto"/>
        </w:rPr>
        <w:t>T 31342</w:t>
      </w:r>
      <w:r>
        <w:rPr>
          <w:color w:val="auto"/>
        </w:rPr>
        <w:t xml:space="preserve">  </w:t>
      </w:r>
      <w:r>
        <w:rPr>
          <w:rFonts w:hint="eastAsia"/>
          <w:color w:val="auto"/>
        </w:rPr>
        <w:t>公共</w:t>
      </w:r>
      <w:r>
        <w:rPr>
          <w:color w:val="auto"/>
        </w:rPr>
        <w:t>机构</w:t>
      </w:r>
      <w:r>
        <w:rPr>
          <w:rFonts w:hint="eastAsia"/>
          <w:color w:val="auto"/>
        </w:rPr>
        <w:t>能源</w:t>
      </w:r>
      <w:r>
        <w:rPr>
          <w:color w:val="auto"/>
        </w:rPr>
        <w:t>审计技术导则</w:t>
      </w:r>
    </w:p>
    <w:p>
      <w:pPr>
        <w:pStyle w:val="67"/>
        <w:ind w:firstLine="420"/>
        <w:rPr>
          <w:color w:val="auto"/>
        </w:rPr>
      </w:pPr>
      <w:r>
        <w:rPr>
          <w:color w:val="auto"/>
        </w:rPr>
        <w:t>GB/</w:t>
      </w:r>
      <w:r>
        <w:rPr>
          <w:rFonts w:hint="eastAsia"/>
          <w:color w:val="auto"/>
        </w:rPr>
        <w:t>T</w:t>
      </w:r>
      <w:r>
        <w:rPr>
          <w:color w:val="auto"/>
        </w:rPr>
        <w:t xml:space="preserve"> 32019  </w:t>
      </w:r>
      <w:r>
        <w:rPr>
          <w:rFonts w:hint="eastAsia"/>
          <w:color w:val="auto"/>
        </w:rPr>
        <w:t>公共</w:t>
      </w:r>
      <w:r>
        <w:rPr>
          <w:color w:val="auto"/>
        </w:rPr>
        <w:t>机构能源管理体系实施指南</w:t>
      </w:r>
    </w:p>
    <w:p>
      <w:pPr>
        <w:pStyle w:val="67"/>
        <w:ind w:firstLine="420"/>
        <w:rPr>
          <w:color w:val="auto"/>
        </w:rPr>
      </w:pPr>
      <w:r>
        <w:rPr>
          <w:color w:val="auto"/>
        </w:rPr>
        <w:t xml:space="preserve">GB/T 36710  </w:t>
      </w:r>
      <w:r>
        <w:rPr>
          <w:rFonts w:hint="eastAsia"/>
          <w:color w:val="auto"/>
        </w:rPr>
        <w:t>公共</w:t>
      </w:r>
      <w:r>
        <w:rPr>
          <w:color w:val="auto"/>
        </w:rPr>
        <w:t>机构</w:t>
      </w:r>
      <w:r>
        <w:rPr>
          <w:rFonts w:hint="eastAsia"/>
          <w:color w:val="auto"/>
        </w:rPr>
        <w:t>办公区</w:t>
      </w:r>
      <w:r>
        <w:rPr>
          <w:color w:val="auto"/>
        </w:rPr>
        <w:t>节能运行管理规范</w:t>
      </w:r>
    </w:p>
    <w:p>
      <w:pPr>
        <w:pStyle w:val="67"/>
        <w:ind w:firstLine="420"/>
        <w:rPr>
          <w:color w:val="auto"/>
        </w:rPr>
      </w:pPr>
      <w:r>
        <w:rPr>
          <w:color w:val="auto"/>
        </w:rPr>
        <w:t>GB 50174  数据中心设计规范</w:t>
      </w:r>
    </w:p>
    <w:p>
      <w:pPr>
        <w:pStyle w:val="67"/>
        <w:ind w:firstLine="420"/>
        <w:rPr>
          <w:color w:val="auto"/>
        </w:rPr>
      </w:pPr>
      <w:r>
        <w:rPr>
          <w:color w:val="auto"/>
        </w:rPr>
        <w:t xml:space="preserve">GB </w:t>
      </w:r>
      <w:r>
        <w:rPr>
          <w:rFonts w:hint="eastAsia"/>
          <w:color w:val="auto"/>
        </w:rPr>
        <w:t>55015</w:t>
      </w:r>
      <w:r>
        <w:rPr>
          <w:color w:val="auto"/>
        </w:rPr>
        <w:t xml:space="preserve">  </w:t>
      </w:r>
      <w:r>
        <w:rPr>
          <w:rFonts w:hint="eastAsia"/>
          <w:color w:val="auto"/>
        </w:rPr>
        <w:t>建筑节能与可再生能源利用通用规范</w:t>
      </w:r>
    </w:p>
    <w:p>
      <w:pPr>
        <w:pStyle w:val="67"/>
        <w:ind w:firstLine="420"/>
        <w:rPr>
          <w:color w:val="auto"/>
        </w:rPr>
      </w:pPr>
      <w:r>
        <w:rPr>
          <w:rFonts w:hint="eastAsia"/>
          <w:color w:val="auto"/>
        </w:rPr>
        <w:t>J</w:t>
      </w:r>
      <w:r>
        <w:rPr>
          <w:color w:val="auto"/>
        </w:rPr>
        <w:t xml:space="preserve">GJ 176  </w:t>
      </w:r>
      <w:r>
        <w:rPr>
          <w:rFonts w:hint="eastAsia"/>
          <w:color w:val="auto"/>
        </w:rPr>
        <w:t>公共</w:t>
      </w:r>
      <w:r>
        <w:rPr>
          <w:color w:val="auto"/>
        </w:rPr>
        <w:t>建筑节能改造技术规范</w:t>
      </w:r>
    </w:p>
    <w:p>
      <w:pPr>
        <w:pStyle w:val="67"/>
        <w:ind w:firstLine="420"/>
        <w:rPr>
          <w:color w:val="auto"/>
        </w:rPr>
      </w:pPr>
      <w:r>
        <w:rPr>
          <w:color w:val="auto"/>
        </w:rPr>
        <w:t>JGJ/T 391  绿色建筑运行维护技术规范</w:t>
      </w:r>
    </w:p>
    <w:p>
      <w:pPr>
        <w:pStyle w:val="67"/>
        <w:ind w:firstLine="420"/>
        <w:rPr>
          <w:color w:val="auto"/>
        </w:rPr>
      </w:pPr>
      <w:r>
        <w:rPr>
          <w:rFonts w:hint="eastAsia"/>
          <w:color w:val="auto"/>
        </w:rPr>
        <w:t>DB32/T 3827  公共机构集中办公区能耗定额和计算方法</w:t>
      </w:r>
    </w:p>
    <w:p>
      <w:pPr>
        <w:pStyle w:val="67"/>
        <w:ind w:firstLine="420"/>
        <w:rPr>
          <w:color w:val="auto"/>
        </w:rPr>
      </w:pPr>
      <w:r>
        <w:rPr>
          <w:rFonts w:hint="eastAsia"/>
          <w:color w:val="auto"/>
        </w:rPr>
        <w:t>DB32/T 4001  公共机构能耗定额和计算方法</w:t>
      </w:r>
    </w:p>
    <w:p>
      <w:pPr>
        <w:pStyle w:val="67"/>
        <w:ind w:firstLine="420"/>
        <w:rPr>
          <w:color w:val="auto"/>
        </w:rPr>
      </w:pPr>
      <w:r>
        <w:rPr>
          <w:rFonts w:hint="eastAsia"/>
          <w:color w:val="auto"/>
        </w:rPr>
        <w:t>DB3205/T 1051  生活垃圾分类管理规范</w:t>
      </w:r>
    </w:p>
    <w:p>
      <w:pPr>
        <w:pStyle w:val="66"/>
        <w:spacing w:before="312" w:after="312"/>
        <w:rPr>
          <w:color w:val="auto"/>
        </w:rPr>
      </w:pPr>
      <w:bookmarkStart w:id="34" w:name="_Toc148086980"/>
      <w:bookmarkStart w:id="35" w:name="_Toc97191425"/>
      <w:bookmarkStart w:id="36" w:name="_Toc154390258"/>
      <w:bookmarkStart w:id="37" w:name="_Toc151560259"/>
      <w:bookmarkStart w:id="38" w:name="_Toc159856830"/>
      <w:bookmarkStart w:id="39" w:name="_Toc11230"/>
      <w:bookmarkStart w:id="40" w:name="_Toc5694"/>
      <w:r>
        <w:rPr>
          <w:rFonts w:hint="eastAsia"/>
          <w:color w:val="auto"/>
          <w:szCs w:val="21"/>
        </w:rPr>
        <w:t>术语和定义</w:t>
      </w:r>
      <w:bookmarkEnd w:id="34"/>
      <w:bookmarkEnd w:id="35"/>
      <w:bookmarkEnd w:id="36"/>
      <w:bookmarkEnd w:id="37"/>
      <w:bookmarkEnd w:id="38"/>
      <w:bookmarkEnd w:id="39"/>
      <w:bookmarkEnd w:id="40"/>
    </w:p>
    <w:sdt>
      <w:sdtPr>
        <w:rPr>
          <w:color w:val="auto"/>
        </w:rPr>
        <w:id w:val="-1909835108"/>
        <w:placeholder>
          <w:docPart w:val="{512247c4-6764-4983-9aab-31241841d93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rPr>
      </w:sdtEndPr>
      <w:sdtContent>
        <w:p>
          <w:pPr>
            <w:pStyle w:val="67"/>
            <w:ind w:firstLine="420"/>
            <w:rPr>
              <w:color w:val="auto"/>
            </w:rPr>
          </w:pPr>
          <w:bookmarkStart w:id="41" w:name="_Toc26986532"/>
          <w:bookmarkEnd w:id="41"/>
          <w:r>
            <w:rPr>
              <w:color w:val="auto"/>
            </w:rPr>
            <w:t>下列术语和定义适用于本文件。</w:t>
          </w:r>
        </w:p>
      </w:sdtContent>
    </w:sdt>
    <w:p>
      <w:pPr>
        <w:pStyle w:val="63"/>
        <w:ind w:left="420" w:hanging="420" w:hangingChars="200"/>
        <w:rPr>
          <w:rFonts w:hint="eastAsia" w:ascii="黑体" w:hAnsi="黑体" w:eastAsia="黑体"/>
          <w:color w:val="auto"/>
        </w:rPr>
      </w:pPr>
    </w:p>
    <w:p>
      <w:pPr>
        <w:pStyle w:val="63"/>
        <w:numPr>
          <w:ilvl w:val="0"/>
          <w:numId w:val="0"/>
        </w:numPr>
        <w:ind w:left="420"/>
        <w:rPr>
          <w:rFonts w:hint="eastAsia" w:ascii="黑体" w:hAnsi="黑体" w:eastAsia="黑体"/>
          <w:highlight w:val="none"/>
          <w:lang w:val="en-US" w:eastAsia="zh-CN"/>
        </w:rPr>
      </w:pPr>
      <w:r>
        <w:rPr>
          <w:rFonts w:hint="eastAsia" w:ascii="黑体" w:hAnsi="黑体" w:eastAsia="黑体"/>
          <w:highlight w:val="none"/>
          <w:lang w:val="en-US" w:eastAsia="zh-CN"/>
        </w:rPr>
        <w:t>公共机构  public institutions</w:t>
      </w:r>
    </w:p>
    <w:p>
      <w:pPr>
        <w:pStyle w:val="67"/>
        <w:ind w:firstLine="420"/>
        <w:rPr>
          <w:color w:val="auto"/>
        </w:rPr>
      </w:pPr>
      <w:r>
        <w:rPr>
          <w:color w:val="auto"/>
        </w:rPr>
        <w:t>全部或者部分使用财政性资金的国家机关、事业单位和团体组织。</w:t>
      </w:r>
    </w:p>
    <w:p>
      <w:pPr>
        <w:pStyle w:val="51"/>
      </w:pPr>
      <w:r>
        <w:rPr>
          <w:rFonts w:hint="eastAsia"/>
        </w:rPr>
        <w:t>［来源：</w:t>
      </w:r>
      <w:r>
        <w:rPr>
          <w:rFonts w:hint="eastAsia"/>
          <w:lang w:val="en-US" w:eastAsia="zh-CN"/>
        </w:rPr>
        <w:t>DB32</w:t>
      </w:r>
      <w:r>
        <w:rPr>
          <w:rFonts w:hint="eastAsia"/>
        </w:rPr>
        <w:t xml:space="preserve">/T </w:t>
      </w:r>
      <w:r>
        <w:rPr>
          <w:rFonts w:hint="eastAsia"/>
          <w:lang w:val="en-US" w:eastAsia="zh-CN"/>
        </w:rPr>
        <w:t>4001</w:t>
      </w:r>
      <w:r>
        <w:rPr>
          <w:rFonts w:hint="eastAsia"/>
        </w:rPr>
        <w:t>-20</w:t>
      </w:r>
      <w:r>
        <w:rPr>
          <w:rFonts w:hint="eastAsia"/>
          <w:lang w:val="en-US" w:eastAsia="zh-CN"/>
        </w:rPr>
        <w:t>21</w:t>
      </w:r>
      <w:r>
        <w:rPr>
          <w:rFonts w:hint="eastAsia"/>
        </w:rPr>
        <w:t>，</w:t>
      </w:r>
      <w:r>
        <w:rPr>
          <w:rFonts w:hint="eastAsia"/>
          <w:lang w:val="en-US" w:eastAsia="zh-CN"/>
        </w:rPr>
        <w:t>3.1</w:t>
      </w:r>
      <w:r>
        <w:rPr>
          <w:rFonts w:hint="eastAsia"/>
        </w:rPr>
        <w:t>］</w:t>
      </w:r>
    </w:p>
    <w:p>
      <w:pPr>
        <w:pStyle w:val="66"/>
        <w:spacing w:before="312" w:after="312"/>
        <w:rPr>
          <w:color w:val="auto"/>
        </w:rPr>
      </w:pPr>
      <w:bookmarkStart w:id="42" w:name="_Toc30703"/>
      <w:bookmarkStart w:id="43" w:name="_Toc151560260"/>
      <w:bookmarkStart w:id="44" w:name="_Toc154390259"/>
      <w:bookmarkStart w:id="45" w:name="_Toc159856831"/>
      <w:bookmarkStart w:id="46" w:name="_Toc148086981"/>
      <w:bookmarkStart w:id="47" w:name="_Toc25303"/>
      <w:r>
        <w:rPr>
          <w:rFonts w:hint="eastAsia"/>
          <w:color w:val="auto"/>
        </w:rPr>
        <w:t>基本要求</w:t>
      </w:r>
      <w:bookmarkEnd w:id="42"/>
      <w:bookmarkEnd w:id="43"/>
      <w:bookmarkEnd w:id="44"/>
      <w:bookmarkEnd w:id="45"/>
      <w:bookmarkEnd w:id="46"/>
      <w:bookmarkEnd w:id="47"/>
    </w:p>
    <w:p>
      <w:pPr>
        <w:pStyle w:val="64"/>
        <w:rPr>
          <w:color w:val="auto"/>
        </w:rPr>
      </w:pPr>
      <w:r>
        <w:rPr>
          <w:rFonts w:hint="eastAsia"/>
          <w:color w:val="auto"/>
        </w:rPr>
        <w:t>公共</w:t>
      </w:r>
      <w:r>
        <w:rPr>
          <w:color w:val="auto"/>
        </w:rPr>
        <w:t>机构</w:t>
      </w:r>
      <w:r>
        <w:rPr>
          <w:rFonts w:hint="eastAsia"/>
          <w:color w:val="auto"/>
        </w:rPr>
        <w:t>节能</w:t>
      </w:r>
      <w:r>
        <w:rPr>
          <w:color w:val="auto"/>
        </w:rPr>
        <w:t>管理应符合</w:t>
      </w:r>
      <w:r>
        <w:rPr>
          <w:rFonts w:hint="eastAsia"/>
          <w:color w:val="auto"/>
        </w:rPr>
        <w:t>节能</w:t>
      </w:r>
      <w:r>
        <w:rPr>
          <w:color w:val="auto"/>
        </w:rPr>
        <w:t>相关</w:t>
      </w:r>
      <w:r>
        <w:rPr>
          <w:rFonts w:hint="eastAsia"/>
          <w:color w:val="auto"/>
        </w:rPr>
        <w:t>法律、</w:t>
      </w:r>
      <w:r>
        <w:rPr>
          <w:color w:val="auto"/>
        </w:rPr>
        <w:t>法规、规章</w:t>
      </w:r>
      <w:r>
        <w:rPr>
          <w:rFonts w:hint="eastAsia"/>
          <w:color w:val="auto"/>
        </w:rPr>
        <w:t>和行业</w:t>
      </w:r>
      <w:r>
        <w:rPr>
          <w:color w:val="auto"/>
        </w:rPr>
        <w:t>要求。</w:t>
      </w:r>
    </w:p>
    <w:p>
      <w:pPr>
        <w:pStyle w:val="64"/>
        <w:rPr>
          <w:color w:val="auto"/>
        </w:rPr>
      </w:pPr>
      <w:r>
        <w:rPr>
          <w:rFonts w:hint="eastAsia"/>
          <w:color w:val="auto"/>
        </w:rPr>
        <w:t>公共机构</w:t>
      </w:r>
      <w:r>
        <w:rPr>
          <w:color w:val="auto"/>
        </w:rPr>
        <w:t>应制定本单位的年度节能目标和实施方案，节能目标应至少包括人均综合能耗、单位建筑面积能耗</w:t>
      </w:r>
      <w:r>
        <w:rPr>
          <w:rFonts w:hint="eastAsia"/>
          <w:color w:val="auto"/>
        </w:rPr>
        <w:t>、</w:t>
      </w:r>
      <w:r>
        <w:rPr>
          <w:color w:val="auto"/>
        </w:rPr>
        <w:t>人均水耗</w:t>
      </w:r>
      <w:r>
        <w:rPr>
          <w:rFonts w:hint="eastAsia"/>
          <w:color w:val="auto"/>
        </w:rPr>
        <w:t>和碳排放强度</w:t>
      </w:r>
      <w:r>
        <w:rPr>
          <w:color w:val="auto"/>
        </w:rPr>
        <w:t>等指标。</w:t>
      </w:r>
    </w:p>
    <w:p>
      <w:pPr>
        <w:pStyle w:val="64"/>
        <w:rPr>
          <w:color w:val="auto"/>
        </w:rPr>
      </w:pPr>
      <w:r>
        <w:rPr>
          <w:rFonts w:hint="eastAsia"/>
          <w:color w:val="auto"/>
        </w:rPr>
        <w:t>公共</w:t>
      </w:r>
      <w:r>
        <w:rPr>
          <w:color w:val="auto"/>
        </w:rPr>
        <w:t>机构应按照GB/T 29149</w:t>
      </w:r>
      <w:r>
        <w:rPr>
          <w:rFonts w:hint="eastAsia"/>
          <w:color w:val="auto"/>
        </w:rPr>
        <w:t>的</w:t>
      </w:r>
      <w:r>
        <w:rPr>
          <w:color w:val="auto"/>
        </w:rPr>
        <w:t>规定配备和管理计量器具，并确保计量器具在有效的检定周期内</w:t>
      </w:r>
      <w:r>
        <w:rPr>
          <w:rFonts w:hint="eastAsia"/>
          <w:color w:val="auto"/>
        </w:rPr>
        <w:t>使用</w:t>
      </w:r>
      <w:r>
        <w:rPr>
          <w:color w:val="auto"/>
        </w:rPr>
        <w:t>。</w:t>
      </w:r>
    </w:p>
    <w:p>
      <w:pPr>
        <w:pStyle w:val="64"/>
        <w:rPr>
          <w:color w:val="auto"/>
        </w:rPr>
      </w:pPr>
      <w:r>
        <w:rPr>
          <w:rFonts w:hint="eastAsia"/>
          <w:color w:val="auto"/>
        </w:rPr>
        <w:t>公共</w:t>
      </w:r>
      <w:r>
        <w:rPr>
          <w:color w:val="auto"/>
        </w:rPr>
        <w:t>机构</w:t>
      </w:r>
      <w:r>
        <w:rPr>
          <w:rFonts w:hint="eastAsia"/>
          <w:color w:val="auto"/>
        </w:rPr>
        <w:t>应定期</w:t>
      </w:r>
      <w:r>
        <w:rPr>
          <w:color w:val="auto"/>
        </w:rPr>
        <w:t>统计和分析能源</w:t>
      </w:r>
      <w:r>
        <w:rPr>
          <w:rFonts w:hint="eastAsia"/>
          <w:color w:val="auto"/>
        </w:rPr>
        <w:t>资源</w:t>
      </w:r>
      <w:r>
        <w:rPr>
          <w:color w:val="auto"/>
        </w:rPr>
        <w:t>的消耗情况。</w:t>
      </w:r>
      <w:r>
        <w:rPr>
          <w:rFonts w:hint="eastAsia"/>
          <w:color w:val="auto"/>
        </w:rPr>
        <w:t>重点用能单位应</w:t>
      </w:r>
      <w:r>
        <w:rPr>
          <w:color w:val="auto"/>
        </w:rPr>
        <w:t>按照GB/</w:t>
      </w:r>
      <w:r>
        <w:rPr>
          <w:rFonts w:hint="eastAsia"/>
          <w:color w:val="auto"/>
        </w:rPr>
        <w:t>T 31342的</w:t>
      </w:r>
      <w:r>
        <w:rPr>
          <w:color w:val="auto"/>
        </w:rPr>
        <w:t>规定定期开展能源审计。</w:t>
      </w:r>
    </w:p>
    <w:p>
      <w:pPr>
        <w:pStyle w:val="64"/>
        <w:rPr>
          <w:color w:val="auto"/>
        </w:rPr>
      </w:pPr>
      <w:r>
        <w:rPr>
          <w:rFonts w:hint="eastAsia"/>
          <w:color w:val="auto"/>
        </w:rPr>
        <w:t>提倡</w:t>
      </w:r>
      <w:r>
        <w:rPr>
          <w:color w:val="auto"/>
        </w:rPr>
        <w:t>使用智能化的能源资源管理系统，</w:t>
      </w:r>
      <w:r>
        <w:rPr>
          <w:rFonts w:hint="eastAsia"/>
          <w:color w:val="auto"/>
        </w:rPr>
        <w:t>实现</w:t>
      </w:r>
      <w:r>
        <w:rPr>
          <w:color w:val="auto"/>
        </w:rPr>
        <w:t>实时数据监控，提高能源资源管理的精确性和效率。</w:t>
      </w:r>
    </w:p>
    <w:p>
      <w:pPr>
        <w:pStyle w:val="64"/>
        <w:rPr>
          <w:color w:val="auto"/>
          <w:highlight w:val="none"/>
        </w:rPr>
      </w:pPr>
      <w:r>
        <w:rPr>
          <w:rFonts w:hint="eastAsia"/>
          <w:color w:val="auto"/>
          <w:highlight w:val="none"/>
        </w:rPr>
        <w:t>积极参与碳普惠、碳交易运行机制，助力碳达峰、碳中和目标实现，推动公共</w:t>
      </w:r>
      <w:r>
        <w:rPr>
          <w:color w:val="auto"/>
          <w:highlight w:val="none"/>
        </w:rPr>
        <w:t>机构节能工作</w:t>
      </w:r>
      <w:r>
        <w:rPr>
          <w:rFonts w:hint="eastAsia"/>
          <w:color w:val="auto"/>
          <w:highlight w:val="none"/>
          <w:lang w:val="en-US" w:eastAsia="zh-CN"/>
        </w:rPr>
        <w:t>绿色低碳</w:t>
      </w:r>
      <w:r>
        <w:rPr>
          <w:rFonts w:hint="eastAsia"/>
          <w:color w:val="auto"/>
          <w:highlight w:val="none"/>
          <w:lang w:eastAsia="zh-CN"/>
        </w:rPr>
        <w:t>，</w:t>
      </w:r>
      <w:r>
        <w:rPr>
          <w:rFonts w:hint="eastAsia"/>
          <w:color w:val="auto"/>
          <w:highlight w:val="none"/>
          <w:lang w:val="en-US" w:eastAsia="zh-CN"/>
        </w:rPr>
        <w:t>引领高质量发展</w:t>
      </w:r>
      <w:r>
        <w:rPr>
          <w:rFonts w:hint="eastAsia"/>
          <w:color w:val="auto"/>
          <w:highlight w:val="none"/>
        </w:rPr>
        <w:t>。</w:t>
      </w:r>
    </w:p>
    <w:p>
      <w:pPr>
        <w:pStyle w:val="66"/>
        <w:spacing w:before="312" w:after="312"/>
        <w:rPr>
          <w:color w:val="auto"/>
        </w:rPr>
      </w:pPr>
      <w:bookmarkStart w:id="48" w:name="_Toc159856832"/>
      <w:bookmarkStart w:id="49" w:name="_Toc154390260"/>
      <w:bookmarkStart w:id="50" w:name="_Toc151560261"/>
      <w:bookmarkStart w:id="51" w:name="_Toc20697"/>
      <w:bookmarkStart w:id="52" w:name="_Toc21470"/>
      <w:bookmarkStart w:id="53" w:name="_Toc148086982"/>
      <w:r>
        <w:rPr>
          <w:rFonts w:hint="eastAsia"/>
          <w:color w:val="auto"/>
        </w:rPr>
        <w:t>制度</w:t>
      </w:r>
      <w:bookmarkEnd w:id="48"/>
      <w:bookmarkEnd w:id="49"/>
      <w:bookmarkEnd w:id="50"/>
      <w:r>
        <w:rPr>
          <w:rFonts w:hint="eastAsia"/>
          <w:color w:val="auto"/>
          <w:lang w:val="en-US" w:eastAsia="zh-CN"/>
        </w:rPr>
        <w:t>约束</w:t>
      </w:r>
      <w:bookmarkEnd w:id="51"/>
      <w:bookmarkEnd w:id="52"/>
    </w:p>
    <w:p>
      <w:pPr>
        <w:pStyle w:val="64"/>
        <w:rPr>
          <w:color w:val="auto"/>
        </w:rPr>
      </w:pPr>
      <w:r>
        <w:rPr>
          <w:rFonts w:hint="eastAsia"/>
          <w:color w:val="auto"/>
        </w:rPr>
        <w:t>应</w:t>
      </w:r>
      <w:r>
        <w:rPr>
          <w:color w:val="auto"/>
        </w:rPr>
        <w:t>按照GB/T 32019</w:t>
      </w:r>
      <w:r>
        <w:rPr>
          <w:rFonts w:hint="eastAsia"/>
          <w:color w:val="auto"/>
        </w:rPr>
        <w:t>的</w:t>
      </w:r>
      <w:r>
        <w:rPr>
          <w:color w:val="auto"/>
        </w:rPr>
        <w:t>要求制定节能管理文件</w:t>
      </w:r>
      <w:r>
        <w:rPr>
          <w:rFonts w:hint="eastAsia"/>
          <w:color w:val="auto"/>
        </w:rPr>
        <w:t>并及时</w:t>
      </w:r>
      <w:r>
        <w:rPr>
          <w:color w:val="auto"/>
        </w:rPr>
        <w:t>更新，包括但不限于：</w:t>
      </w:r>
    </w:p>
    <w:p>
      <w:pPr>
        <w:pStyle w:val="77"/>
        <w:rPr>
          <w:color w:val="auto"/>
        </w:rPr>
      </w:pPr>
      <w:r>
        <w:rPr>
          <w:rFonts w:hint="eastAsia"/>
          <w:color w:val="auto"/>
        </w:rPr>
        <w:t>节能目标</w:t>
      </w:r>
      <w:r>
        <w:rPr>
          <w:color w:val="auto"/>
        </w:rPr>
        <w:t>责任制和奖惩文件；</w:t>
      </w:r>
    </w:p>
    <w:p>
      <w:pPr>
        <w:pStyle w:val="77"/>
        <w:rPr>
          <w:color w:val="auto"/>
        </w:rPr>
      </w:pPr>
      <w:r>
        <w:rPr>
          <w:rFonts w:hint="eastAsia"/>
          <w:color w:val="auto"/>
        </w:rPr>
        <w:t>设备运行</w:t>
      </w:r>
      <w:r>
        <w:rPr>
          <w:color w:val="auto"/>
        </w:rPr>
        <w:t>管理、采购、培训、档案等文件；</w:t>
      </w:r>
    </w:p>
    <w:p>
      <w:pPr>
        <w:pStyle w:val="77"/>
        <w:rPr>
          <w:color w:val="auto"/>
        </w:rPr>
      </w:pPr>
      <w:r>
        <w:rPr>
          <w:rFonts w:hint="eastAsia"/>
          <w:color w:val="auto"/>
        </w:rPr>
        <w:t>公务</w:t>
      </w:r>
      <w:r>
        <w:rPr>
          <w:color w:val="auto"/>
        </w:rPr>
        <w:t>用车</w:t>
      </w:r>
      <w:r>
        <w:rPr>
          <w:rFonts w:hint="eastAsia"/>
          <w:color w:val="auto"/>
          <w:lang w:eastAsia="zh-CN"/>
        </w:rPr>
        <w:t>（</w:t>
      </w:r>
      <w:r>
        <w:rPr>
          <w:rFonts w:hint="eastAsia"/>
          <w:color w:val="auto"/>
          <w:lang w:val="en-US" w:eastAsia="zh-CN"/>
        </w:rPr>
        <w:t>含新能源车</w:t>
      </w:r>
      <w:r>
        <w:rPr>
          <w:rFonts w:hint="eastAsia"/>
          <w:color w:val="auto"/>
          <w:lang w:eastAsia="zh-CN"/>
        </w:rPr>
        <w:t>）</w:t>
      </w:r>
      <w:r>
        <w:rPr>
          <w:color w:val="auto"/>
        </w:rPr>
        <w:t>节能管理文件</w:t>
      </w:r>
      <w:r>
        <w:rPr>
          <w:rFonts w:hint="eastAsia"/>
          <w:color w:val="auto"/>
        </w:rPr>
        <w:t>。</w:t>
      </w:r>
    </w:p>
    <w:p>
      <w:pPr>
        <w:pStyle w:val="64"/>
        <w:rPr>
          <w:color w:val="auto"/>
        </w:rPr>
      </w:pPr>
      <w:r>
        <w:rPr>
          <w:rFonts w:hint="eastAsia"/>
          <w:color w:val="auto"/>
        </w:rPr>
        <w:t>应制定详细的</w:t>
      </w:r>
      <w:r>
        <w:rPr>
          <w:color w:val="auto"/>
        </w:rPr>
        <w:t>行为</w:t>
      </w:r>
      <w:r>
        <w:rPr>
          <w:rFonts w:hint="eastAsia"/>
          <w:color w:val="auto"/>
        </w:rPr>
        <w:t>约束规定</w:t>
      </w:r>
      <w:r>
        <w:rPr>
          <w:color w:val="auto"/>
        </w:rPr>
        <w:t>，对</w:t>
      </w:r>
      <w:r>
        <w:rPr>
          <w:rFonts w:hint="eastAsia"/>
          <w:color w:val="auto"/>
        </w:rPr>
        <w:t>日常的</w:t>
      </w:r>
      <w:r>
        <w:rPr>
          <w:color w:val="auto"/>
        </w:rPr>
        <w:t>行为进行约束和管理，包括但不限于</w:t>
      </w:r>
      <w:r>
        <w:rPr>
          <w:rFonts w:hint="eastAsia"/>
          <w:color w:val="auto"/>
        </w:rPr>
        <w:t>：</w:t>
      </w:r>
    </w:p>
    <w:p>
      <w:pPr>
        <w:pStyle w:val="77"/>
        <w:numPr>
          <w:ilvl w:val="0"/>
          <w:numId w:val="11"/>
        </w:numPr>
        <w:rPr>
          <w:color w:val="auto"/>
        </w:rPr>
      </w:pPr>
      <w:r>
        <w:rPr>
          <w:rFonts w:hint="eastAsia"/>
          <w:color w:val="auto"/>
        </w:rPr>
        <w:t>倡导</w:t>
      </w:r>
      <w:r>
        <w:rPr>
          <w:color w:val="auto"/>
        </w:rPr>
        <w:t>低碳的交通出行方式，鼓励</w:t>
      </w:r>
      <w:r>
        <w:rPr>
          <w:rFonts w:hint="eastAsia"/>
          <w:color w:val="auto"/>
        </w:rPr>
        <w:t>三层以内步行</w:t>
      </w:r>
      <w:r>
        <w:rPr>
          <w:color w:val="auto"/>
        </w:rPr>
        <w:t>上下楼；</w:t>
      </w:r>
    </w:p>
    <w:p>
      <w:pPr>
        <w:pStyle w:val="77"/>
        <w:rPr>
          <w:color w:val="auto"/>
        </w:rPr>
      </w:pPr>
      <w:r>
        <w:rPr>
          <w:rFonts w:hint="eastAsia"/>
          <w:color w:val="auto"/>
        </w:rPr>
        <w:t>鼓励</w:t>
      </w:r>
      <w:r>
        <w:rPr>
          <w:color w:val="auto"/>
        </w:rPr>
        <w:t>节约粮食</w:t>
      </w:r>
      <w:r>
        <w:rPr>
          <w:rFonts w:hint="eastAsia"/>
          <w:color w:val="auto"/>
        </w:rPr>
        <w:t>、</w:t>
      </w:r>
      <w:r>
        <w:rPr>
          <w:color w:val="auto"/>
        </w:rPr>
        <w:t>文明就餐，做到光盘，不浪费饮用水；</w:t>
      </w:r>
    </w:p>
    <w:p>
      <w:pPr>
        <w:pStyle w:val="77"/>
        <w:rPr>
          <w:color w:val="auto"/>
        </w:rPr>
      </w:pPr>
      <w:r>
        <w:rPr>
          <w:rFonts w:hint="eastAsia"/>
          <w:color w:val="auto"/>
        </w:rPr>
        <w:t>生活</w:t>
      </w:r>
      <w:r>
        <w:rPr>
          <w:color w:val="auto"/>
        </w:rPr>
        <w:t>垃圾分类投放、</w:t>
      </w:r>
      <w:r>
        <w:rPr>
          <w:rFonts w:hint="eastAsia"/>
          <w:color w:val="auto"/>
        </w:rPr>
        <w:t>分类清运、分类处理、可回收物循环利用。</w:t>
      </w:r>
    </w:p>
    <w:bookmarkEnd w:id="53"/>
    <w:p>
      <w:pPr>
        <w:pStyle w:val="66"/>
        <w:spacing w:before="312" w:after="312"/>
        <w:rPr>
          <w:color w:val="auto"/>
        </w:rPr>
      </w:pPr>
      <w:bookmarkStart w:id="54" w:name="_Toc151560262"/>
      <w:bookmarkStart w:id="55" w:name="_Toc154390261"/>
      <w:bookmarkStart w:id="56" w:name="_Toc159856833"/>
      <w:bookmarkStart w:id="57" w:name="_Toc9823"/>
      <w:bookmarkStart w:id="58" w:name="_Toc4053"/>
      <w:r>
        <w:rPr>
          <w:rFonts w:hint="eastAsia"/>
          <w:color w:val="auto"/>
        </w:rPr>
        <w:t>管理</w:t>
      </w:r>
      <w:bookmarkEnd w:id="54"/>
      <w:bookmarkEnd w:id="55"/>
      <w:bookmarkEnd w:id="56"/>
      <w:r>
        <w:rPr>
          <w:rFonts w:hint="eastAsia"/>
          <w:color w:val="auto"/>
        </w:rPr>
        <w:t>部门</w:t>
      </w:r>
      <w:bookmarkEnd w:id="57"/>
      <w:bookmarkEnd w:id="58"/>
    </w:p>
    <w:p>
      <w:pPr>
        <w:pStyle w:val="64"/>
        <w:rPr>
          <w:color w:val="auto"/>
        </w:rPr>
      </w:pPr>
      <w:r>
        <w:rPr>
          <w:rFonts w:hint="eastAsia"/>
          <w:color w:val="auto"/>
        </w:rPr>
        <w:t>公共机构应明确相关内设</w:t>
      </w:r>
      <w:r>
        <w:rPr>
          <w:color w:val="auto"/>
        </w:rPr>
        <w:t>部门为节能管理部门</w:t>
      </w:r>
      <w:r>
        <w:rPr>
          <w:rFonts w:hint="eastAsia"/>
          <w:color w:val="auto"/>
        </w:rPr>
        <w:t>。</w:t>
      </w:r>
    </w:p>
    <w:p>
      <w:pPr>
        <w:pStyle w:val="64"/>
        <w:rPr>
          <w:color w:val="auto"/>
        </w:rPr>
      </w:pPr>
      <w:r>
        <w:rPr>
          <w:rFonts w:hint="eastAsia"/>
          <w:color w:val="auto"/>
        </w:rPr>
        <w:t>节能</w:t>
      </w:r>
      <w:r>
        <w:rPr>
          <w:color w:val="auto"/>
        </w:rPr>
        <w:t>管理部门</w:t>
      </w:r>
      <w:r>
        <w:rPr>
          <w:rFonts w:hint="eastAsia"/>
          <w:color w:val="auto"/>
        </w:rPr>
        <w:t>应设置</w:t>
      </w:r>
      <w:r>
        <w:rPr>
          <w:color w:val="auto"/>
        </w:rPr>
        <w:t>节能管理岗位，</w:t>
      </w:r>
      <w:r>
        <w:rPr>
          <w:rFonts w:hint="eastAsia"/>
          <w:color w:val="auto"/>
        </w:rPr>
        <w:t>配备</w:t>
      </w:r>
      <w:r>
        <w:rPr>
          <w:color w:val="auto"/>
        </w:rPr>
        <w:t>专</w:t>
      </w:r>
      <w:r>
        <w:rPr>
          <w:rFonts w:hint="eastAsia"/>
          <w:color w:val="auto"/>
        </w:rPr>
        <w:t>（兼）职节能负责人和</w:t>
      </w:r>
      <w:r>
        <w:rPr>
          <w:color w:val="auto"/>
        </w:rPr>
        <w:t>节能联络员（能耗统计员）等，重点用能系统设备还应配备专业技术人员。</w:t>
      </w:r>
    </w:p>
    <w:p>
      <w:pPr>
        <w:pStyle w:val="64"/>
        <w:rPr>
          <w:color w:val="auto"/>
        </w:rPr>
      </w:pPr>
      <w:r>
        <w:rPr>
          <w:color w:val="auto"/>
        </w:rPr>
        <w:t>节能管理部门职责包括但不限于：</w:t>
      </w:r>
    </w:p>
    <w:p>
      <w:pPr>
        <w:pStyle w:val="77"/>
        <w:numPr>
          <w:ilvl w:val="0"/>
          <w:numId w:val="12"/>
        </w:numPr>
        <w:rPr>
          <w:color w:val="auto"/>
        </w:rPr>
      </w:pPr>
      <w:r>
        <w:rPr>
          <w:rFonts w:hint="eastAsia"/>
          <w:color w:val="auto"/>
        </w:rPr>
        <w:t>贯彻执行</w:t>
      </w:r>
      <w:r>
        <w:rPr>
          <w:color w:val="auto"/>
        </w:rPr>
        <w:t>有关节能</w:t>
      </w:r>
      <w:r>
        <w:rPr>
          <w:rFonts w:hint="eastAsia"/>
          <w:color w:val="auto"/>
        </w:rPr>
        <w:t>管理</w:t>
      </w:r>
      <w:r>
        <w:rPr>
          <w:color w:val="auto"/>
        </w:rPr>
        <w:t>的法律、</w:t>
      </w:r>
      <w:r>
        <w:rPr>
          <w:rFonts w:hint="eastAsia"/>
          <w:color w:val="auto"/>
        </w:rPr>
        <w:t>法规</w:t>
      </w:r>
      <w:r>
        <w:rPr>
          <w:color w:val="auto"/>
        </w:rPr>
        <w:t>、规章和标准，加强节能的宣传，提高节能意识；</w:t>
      </w:r>
    </w:p>
    <w:p>
      <w:pPr>
        <w:pStyle w:val="77"/>
        <w:rPr>
          <w:color w:val="auto"/>
        </w:rPr>
      </w:pPr>
      <w:r>
        <w:rPr>
          <w:rFonts w:hint="eastAsia"/>
          <w:color w:val="auto"/>
        </w:rPr>
        <w:t>建立</w:t>
      </w:r>
      <w:r>
        <w:rPr>
          <w:color w:val="auto"/>
        </w:rPr>
        <w:t>、健全本单位节能管理的规章制度；</w:t>
      </w:r>
    </w:p>
    <w:p>
      <w:pPr>
        <w:pStyle w:val="77"/>
        <w:rPr>
          <w:color w:val="auto"/>
        </w:rPr>
      </w:pPr>
      <w:r>
        <w:rPr>
          <w:rFonts w:hint="eastAsia"/>
          <w:color w:val="auto"/>
        </w:rPr>
        <w:t>制定</w:t>
      </w:r>
      <w:r>
        <w:rPr>
          <w:color w:val="auto"/>
        </w:rPr>
        <w:t>年度节能目标和实施方案；</w:t>
      </w:r>
    </w:p>
    <w:p>
      <w:pPr>
        <w:pStyle w:val="77"/>
        <w:rPr>
          <w:color w:val="auto"/>
        </w:rPr>
      </w:pPr>
      <w:r>
        <w:rPr>
          <w:rFonts w:hint="eastAsia"/>
          <w:color w:val="auto"/>
        </w:rPr>
        <w:t>健全</w:t>
      </w:r>
      <w:r>
        <w:rPr>
          <w:color w:val="auto"/>
        </w:rPr>
        <w:t>节能监督管理职能，落实人员、经费；</w:t>
      </w:r>
    </w:p>
    <w:p>
      <w:pPr>
        <w:pStyle w:val="77"/>
        <w:rPr>
          <w:color w:val="auto"/>
        </w:rPr>
      </w:pPr>
      <w:r>
        <w:rPr>
          <w:color w:val="auto"/>
        </w:rPr>
        <w:t>实行能源资源管理岗位责任制，</w:t>
      </w:r>
      <w:r>
        <w:rPr>
          <w:rFonts w:hint="eastAsia"/>
          <w:color w:val="auto"/>
        </w:rPr>
        <w:t>监督</w:t>
      </w:r>
      <w:r>
        <w:rPr>
          <w:color w:val="auto"/>
        </w:rPr>
        <w:t>本单位节能管理责任制的落实情况并定期组织考核；</w:t>
      </w:r>
    </w:p>
    <w:p>
      <w:pPr>
        <w:pStyle w:val="77"/>
        <w:rPr>
          <w:color w:val="auto"/>
        </w:rPr>
      </w:pPr>
      <w:r>
        <w:rPr>
          <w:rFonts w:hint="eastAsia"/>
          <w:color w:val="auto"/>
        </w:rPr>
        <w:t>定期</w:t>
      </w:r>
      <w:r>
        <w:rPr>
          <w:color w:val="auto"/>
        </w:rPr>
        <w:t>组织对本单位</w:t>
      </w:r>
      <w:r>
        <w:rPr>
          <w:rFonts w:hint="eastAsia"/>
          <w:color w:val="auto"/>
        </w:rPr>
        <w:t>及下属单位</w:t>
      </w:r>
      <w:r>
        <w:rPr>
          <w:color w:val="auto"/>
        </w:rPr>
        <w:t>用能</w:t>
      </w:r>
      <w:r>
        <w:rPr>
          <w:rFonts w:hint="eastAsia"/>
          <w:color w:val="auto"/>
        </w:rPr>
        <w:t>系统</w:t>
      </w:r>
      <w:r>
        <w:rPr>
          <w:color w:val="auto"/>
        </w:rPr>
        <w:t>和设备的</w:t>
      </w:r>
      <w:r>
        <w:rPr>
          <w:rFonts w:hint="eastAsia"/>
          <w:color w:val="auto"/>
        </w:rPr>
        <w:t>巡查</w:t>
      </w:r>
      <w:r>
        <w:rPr>
          <w:color w:val="auto"/>
        </w:rPr>
        <w:t>，根据巡查结果开展用能</w:t>
      </w:r>
      <w:r>
        <w:rPr>
          <w:rFonts w:hint="eastAsia"/>
          <w:color w:val="auto"/>
        </w:rPr>
        <w:t>系统</w:t>
      </w:r>
      <w:r>
        <w:rPr>
          <w:color w:val="auto"/>
        </w:rPr>
        <w:t>和设备的维护、保养与调节，加强用能管理；</w:t>
      </w:r>
    </w:p>
    <w:p>
      <w:pPr>
        <w:pStyle w:val="77"/>
        <w:rPr>
          <w:color w:val="auto"/>
        </w:rPr>
      </w:pPr>
      <w:r>
        <w:rPr>
          <w:color w:val="auto"/>
        </w:rPr>
        <w:t>定期组织节能检查，研究、分析本</w:t>
      </w:r>
      <w:r>
        <w:rPr>
          <w:rFonts w:hint="eastAsia"/>
          <w:color w:val="auto"/>
        </w:rPr>
        <w:t>单位</w:t>
      </w:r>
      <w:r>
        <w:rPr>
          <w:color w:val="auto"/>
        </w:rPr>
        <w:t>用能状况，对节能管理中存在的突出问题及时解决；</w:t>
      </w:r>
    </w:p>
    <w:p>
      <w:pPr>
        <w:pStyle w:val="77"/>
        <w:rPr>
          <w:color w:val="auto"/>
        </w:rPr>
      </w:pPr>
      <w:r>
        <w:rPr>
          <w:rFonts w:hint="eastAsia"/>
          <w:color w:val="auto"/>
        </w:rPr>
        <w:t>监督</w:t>
      </w:r>
      <w:r>
        <w:rPr>
          <w:color w:val="auto"/>
        </w:rPr>
        <w:t>检查本单位新</w:t>
      </w:r>
      <w:r>
        <w:rPr>
          <w:rFonts w:hint="eastAsia"/>
          <w:color w:val="auto"/>
        </w:rPr>
        <w:t>建建筑</w:t>
      </w:r>
      <w:r>
        <w:rPr>
          <w:color w:val="auto"/>
        </w:rPr>
        <w:t>节能和既有建筑节能改造情况；</w:t>
      </w:r>
    </w:p>
    <w:p>
      <w:pPr>
        <w:pStyle w:val="77"/>
        <w:rPr>
          <w:color w:val="auto"/>
        </w:rPr>
      </w:pPr>
      <w:r>
        <w:rPr>
          <w:color w:val="auto"/>
        </w:rPr>
        <w:t>监督检查本单位垃圾分类及资源循环使用情况；</w:t>
      </w:r>
    </w:p>
    <w:p>
      <w:pPr>
        <w:pStyle w:val="77"/>
        <w:rPr>
          <w:color w:val="auto"/>
        </w:rPr>
      </w:pPr>
      <w:r>
        <w:rPr>
          <w:rFonts w:hint="eastAsia"/>
          <w:color w:val="auto"/>
        </w:rPr>
        <w:t>定期</w:t>
      </w:r>
      <w:r>
        <w:rPr>
          <w:color w:val="auto"/>
        </w:rPr>
        <w:t>组织本单位节能数据的搜集、整理和上报</w:t>
      </w:r>
      <w:r>
        <w:rPr>
          <w:rFonts w:hint="eastAsia"/>
          <w:color w:val="auto"/>
          <w:lang w:eastAsia="zh-CN"/>
        </w:rPr>
        <w:t>。</w:t>
      </w:r>
    </w:p>
    <w:p>
      <w:pPr>
        <w:pStyle w:val="66"/>
        <w:spacing w:before="312" w:after="312"/>
        <w:rPr>
          <w:color w:val="auto"/>
        </w:rPr>
      </w:pPr>
      <w:bookmarkStart w:id="59" w:name="_Toc151560263"/>
      <w:bookmarkStart w:id="60" w:name="_Toc148086983"/>
      <w:bookmarkStart w:id="61" w:name="_Toc18377"/>
      <w:bookmarkStart w:id="62" w:name="_Toc27305"/>
      <w:bookmarkStart w:id="63" w:name="_Toc159856834"/>
      <w:bookmarkStart w:id="64" w:name="_Toc154390262"/>
      <w:r>
        <w:rPr>
          <w:rFonts w:hint="eastAsia"/>
          <w:color w:val="auto"/>
        </w:rPr>
        <w:t>工作</w:t>
      </w:r>
      <w:r>
        <w:rPr>
          <w:color w:val="auto"/>
        </w:rPr>
        <w:t>内容</w:t>
      </w:r>
      <w:bookmarkEnd w:id="59"/>
      <w:bookmarkEnd w:id="60"/>
      <w:bookmarkEnd w:id="61"/>
      <w:bookmarkEnd w:id="62"/>
      <w:bookmarkEnd w:id="63"/>
      <w:bookmarkEnd w:id="64"/>
    </w:p>
    <w:p>
      <w:pPr>
        <w:pStyle w:val="65"/>
        <w:spacing w:before="156" w:after="156"/>
        <w:rPr>
          <w:color w:val="auto"/>
        </w:rPr>
      </w:pPr>
      <w:bookmarkStart w:id="65" w:name="_Toc159856835"/>
      <w:bookmarkStart w:id="66" w:name="_Toc151560264"/>
      <w:bookmarkStart w:id="67" w:name="_Toc15289"/>
      <w:bookmarkStart w:id="68" w:name="_Toc29703"/>
      <w:bookmarkStart w:id="69" w:name="_Toc148086984"/>
      <w:bookmarkStart w:id="70" w:name="_Toc154390263"/>
      <w:r>
        <w:rPr>
          <w:rFonts w:hint="eastAsia"/>
          <w:color w:val="auto"/>
        </w:rPr>
        <w:t>能耗</w:t>
      </w:r>
      <w:r>
        <w:rPr>
          <w:color w:val="auto"/>
        </w:rPr>
        <w:t>统计</w:t>
      </w:r>
      <w:bookmarkEnd w:id="65"/>
      <w:bookmarkEnd w:id="66"/>
      <w:bookmarkEnd w:id="67"/>
      <w:bookmarkEnd w:id="68"/>
      <w:bookmarkEnd w:id="69"/>
      <w:bookmarkEnd w:id="70"/>
    </w:p>
    <w:p>
      <w:pPr>
        <w:pStyle w:val="68"/>
        <w:rPr>
          <w:color w:val="auto"/>
        </w:rPr>
      </w:pPr>
      <w:r>
        <w:rPr>
          <w:rFonts w:hint="eastAsia"/>
          <w:color w:val="auto"/>
        </w:rPr>
        <w:t>公共机构应</w:t>
      </w:r>
      <w:r>
        <w:rPr>
          <w:color w:val="auto"/>
        </w:rPr>
        <w:t>开展能源资源</w:t>
      </w:r>
      <w:r>
        <w:rPr>
          <w:rFonts w:hint="eastAsia"/>
          <w:color w:val="auto"/>
        </w:rPr>
        <w:t>消费</w:t>
      </w:r>
      <w:r>
        <w:rPr>
          <w:color w:val="auto"/>
        </w:rPr>
        <w:t>统计工作，实行能源资源消费分户、分类、分项计量，建立能源资源消费统计台账，对</w:t>
      </w:r>
      <w:r>
        <w:rPr>
          <w:rFonts w:hint="eastAsia"/>
          <w:color w:val="auto"/>
        </w:rPr>
        <w:t>能源资源</w:t>
      </w:r>
      <w:r>
        <w:rPr>
          <w:color w:val="auto"/>
        </w:rPr>
        <w:t>使用和管理现状进行</w:t>
      </w:r>
      <w:r>
        <w:rPr>
          <w:rFonts w:hint="eastAsia"/>
          <w:color w:val="auto"/>
        </w:rPr>
        <w:t>分析</w:t>
      </w:r>
      <w:r>
        <w:rPr>
          <w:color w:val="auto"/>
        </w:rPr>
        <w:t>，重点内容可参照GB/</w:t>
      </w:r>
      <w:r>
        <w:rPr>
          <w:rFonts w:hint="eastAsia"/>
          <w:color w:val="auto"/>
        </w:rPr>
        <w:t>T</w:t>
      </w:r>
      <w:r>
        <w:rPr>
          <w:color w:val="auto"/>
        </w:rPr>
        <w:t xml:space="preserve"> 32019</w:t>
      </w:r>
      <w:r>
        <w:rPr>
          <w:rFonts w:hint="eastAsia"/>
          <w:color w:val="auto"/>
        </w:rPr>
        <w:t>的</w:t>
      </w:r>
      <w:r>
        <w:rPr>
          <w:color w:val="auto"/>
        </w:rPr>
        <w:t>要求执行。</w:t>
      </w:r>
    </w:p>
    <w:p>
      <w:pPr>
        <w:pStyle w:val="68"/>
        <w:rPr>
          <w:color w:val="auto"/>
        </w:rPr>
      </w:pPr>
      <w:r>
        <w:rPr>
          <w:rFonts w:hint="eastAsia"/>
          <w:color w:val="auto"/>
        </w:rPr>
        <w:t>公共</w:t>
      </w:r>
      <w:r>
        <w:rPr>
          <w:color w:val="auto"/>
        </w:rPr>
        <w:t>机构应对</w:t>
      </w:r>
      <w:r>
        <w:rPr>
          <w:rFonts w:hint="eastAsia"/>
          <w:color w:val="auto"/>
        </w:rPr>
        <w:t>数据中心</w:t>
      </w:r>
      <w:r>
        <w:rPr>
          <w:color w:val="auto"/>
        </w:rPr>
        <w:t>、食堂、开水间、锅炉房等重点用能场所</w:t>
      </w:r>
      <w:r>
        <w:rPr>
          <w:rFonts w:hint="eastAsia"/>
          <w:color w:val="auto"/>
        </w:rPr>
        <w:t>，空调、照明、动力等</w:t>
      </w:r>
      <w:r>
        <w:rPr>
          <w:color w:val="auto"/>
        </w:rPr>
        <w:t>其</w:t>
      </w:r>
      <w:r>
        <w:rPr>
          <w:rFonts w:hint="eastAsia"/>
          <w:color w:val="auto"/>
        </w:rPr>
        <w:t>它</w:t>
      </w:r>
      <w:r>
        <w:rPr>
          <w:color w:val="auto"/>
        </w:rPr>
        <w:t>大型</w:t>
      </w:r>
      <w:r>
        <w:rPr>
          <w:rFonts w:hint="eastAsia"/>
          <w:color w:val="auto"/>
        </w:rPr>
        <w:t>用能</w:t>
      </w:r>
      <w:r>
        <w:rPr>
          <w:color w:val="auto"/>
        </w:rPr>
        <w:t>设备及系统的</w:t>
      </w:r>
      <w:r>
        <w:rPr>
          <w:rFonts w:hint="eastAsia"/>
          <w:color w:val="auto"/>
        </w:rPr>
        <w:t>能源资源消耗</w:t>
      </w:r>
      <w:r>
        <w:rPr>
          <w:color w:val="auto"/>
        </w:rPr>
        <w:t>情况实行重点监测</w:t>
      </w:r>
      <w:r>
        <w:rPr>
          <w:rFonts w:hint="eastAsia"/>
          <w:color w:val="auto"/>
        </w:rPr>
        <w:t>及能耗统计</w:t>
      </w:r>
      <w:r>
        <w:rPr>
          <w:color w:val="auto"/>
        </w:rPr>
        <w:t>。</w:t>
      </w:r>
    </w:p>
    <w:p>
      <w:pPr>
        <w:pStyle w:val="65"/>
        <w:spacing w:before="156" w:after="156"/>
        <w:rPr>
          <w:color w:val="auto"/>
        </w:rPr>
      </w:pPr>
      <w:bookmarkStart w:id="71" w:name="_Toc151560266"/>
      <w:bookmarkStart w:id="72" w:name="_Toc9928"/>
      <w:bookmarkStart w:id="73" w:name="_Toc11923"/>
      <w:bookmarkStart w:id="74" w:name="_Toc159856836"/>
      <w:bookmarkStart w:id="75" w:name="_Toc154390264"/>
      <w:bookmarkStart w:id="76" w:name="_Toc148086986"/>
      <w:r>
        <w:rPr>
          <w:rFonts w:hint="eastAsia"/>
          <w:color w:val="auto"/>
        </w:rPr>
        <w:t>定期</w:t>
      </w:r>
      <w:r>
        <w:rPr>
          <w:color w:val="auto"/>
        </w:rPr>
        <w:t>报送</w:t>
      </w:r>
      <w:bookmarkEnd w:id="71"/>
      <w:bookmarkEnd w:id="72"/>
      <w:bookmarkEnd w:id="73"/>
      <w:bookmarkEnd w:id="74"/>
      <w:bookmarkEnd w:id="75"/>
      <w:bookmarkEnd w:id="76"/>
    </w:p>
    <w:p>
      <w:pPr>
        <w:pStyle w:val="67"/>
        <w:ind w:firstLine="420"/>
        <w:rPr>
          <w:rFonts w:hint="eastAsia"/>
          <w:color w:val="auto"/>
        </w:rPr>
      </w:pPr>
      <w:r>
        <w:rPr>
          <w:rFonts w:hint="eastAsia"/>
          <w:color w:val="auto"/>
        </w:rPr>
        <w:t>总结</w:t>
      </w:r>
      <w:r>
        <w:rPr>
          <w:color w:val="auto"/>
        </w:rPr>
        <w:t>分析本单位上一年度用能情况，形成能源资源消费状况报告，</w:t>
      </w:r>
      <w:r>
        <w:rPr>
          <w:rFonts w:hint="eastAsia"/>
          <w:color w:val="auto"/>
        </w:rPr>
        <w:t>每年将能耗数据报送至上级节能行业主管部门，对人均综合能耗、单位建筑面积能耗、人均水耗进行定额管理，对超</w:t>
      </w:r>
      <w:r>
        <w:rPr>
          <w:rFonts w:hint="eastAsia"/>
          <w:color w:val="auto"/>
          <w:highlight w:val="none"/>
        </w:rPr>
        <w:t>约束值情</w:t>
      </w:r>
      <w:r>
        <w:rPr>
          <w:rFonts w:hint="eastAsia"/>
          <w:color w:val="auto"/>
        </w:rPr>
        <w:t>况进行对标整改。</w:t>
      </w:r>
    </w:p>
    <w:p>
      <w:pPr>
        <w:pStyle w:val="67"/>
        <w:ind w:firstLine="420"/>
        <w:rPr>
          <w:rFonts w:hint="eastAsia" w:eastAsia="宋体"/>
          <w:color w:val="auto"/>
          <w:lang w:val="en-US" w:eastAsia="zh-CN"/>
        </w:rPr>
      </w:pPr>
      <w:r>
        <w:rPr>
          <w:rFonts w:hint="eastAsia" w:ascii="黑体" w:hAnsi="黑体" w:eastAsia="黑体" w:cs="黑体"/>
          <w:color w:val="auto"/>
          <w:sz w:val="18"/>
          <w:szCs w:val="18"/>
          <w:lang w:val="en-US" w:eastAsia="zh-CN"/>
        </w:rPr>
        <w:t>注：</w:t>
      </w:r>
      <w:r>
        <w:rPr>
          <w:rFonts w:hint="eastAsia"/>
          <w:color w:val="auto"/>
          <w:sz w:val="18"/>
          <w:szCs w:val="18"/>
          <w:lang w:val="en-US" w:eastAsia="zh-CN"/>
        </w:rPr>
        <w:t>约束值参见</w:t>
      </w:r>
      <w:r>
        <w:rPr>
          <w:rFonts w:hint="eastAsia"/>
          <w:color w:val="auto"/>
          <w:sz w:val="18"/>
          <w:szCs w:val="18"/>
        </w:rPr>
        <w:t>DB32/T 3827、DB32/T 4001</w:t>
      </w:r>
      <w:r>
        <w:rPr>
          <w:rFonts w:hint="eastAsia"/>
          <w:color w:val="auto"/>
          <w:sz w:val="18"/>
          <w:szCs w:val="18"/>
          <w:lang w:eastAsia="zh-CN"/>
        </w:rPr>
        <w:t>。</w:t>
      </w:r>
    </w:p>
    <w:p>
      <w:pPr>
        <w:pStyle w:val="65"/>
        <w:spacing w:before="156" w:after="156"/>
        <w:rPr>
          <w:color w:val="auto"/>
        </w:rPr>
      </w:pPr>
      <w:bookmarkStart w:id="77" w:name="_Toc3238"/>
      <w:bookmarkStart w:id="78" w:name="_Toc9330"/>
      <w:r>
        <w:rPr>
          <w:rFonts w:hint="eastAsia"/>
          <w:color w:val="auto"/>
        </w:rPr>
        <w:t>定额管理</w:t>
      </w:r>
      <w:bookmarkEnd w:id="77"/>
      <w:bookmarkEnd w:id="78"/>
    </w:p>
    <w:p>
      <w:pPr>
        <w:pStyle w:val="67"/>
        <w:ind w:firstLine="420"/>
        <w:rPr>
          <w:color w:val="auto"/>
        </w:rPr>
      </w:pPr>
      <w:r>
        <w:rPr>
          <w:color w:val="auto"/>
        </w:rPr>
        <w:t>实行能耗定额管理，统计、计算本单位的能耗水平，与</w:t>
      </w:r>
      <w:r>
        <w:rPr>
          <w:rFonts w:hint="eastAsia"/>
          <w:color w:val="auto"/>
        </w:rPr>
        <w:t>DB32/T 3827、DB32/T 4001中的</w:t>
      </w:r>
      <w:r>
        <w:rPr>
          <w:color w:val="auto"/>
        </w:rPr>
        <w:t>指标进行对标，查找薄弱环节，制定能效提升计划，采取</w:t>
      </w:r>
      <w:r>
        <w:rPr>
          <w:rFonts w:hint="eastAsia"/>
          <w:color w:val="auto"/>
        </w:rPr>
        <w:t>有效</w:t>
      </w:r>
      <w:r>
        <w:rPr>
          <w:color w:val="auto"/>
        </w:rPr>
        <w:t>措施提高能源资源使用效率。</w:t>
      </w:r>
    </w:p>
    <w:p>
      <w:pPr>
        <w:pStyle w:val="65"/>
        <w:spacing w:before="156" w:after="156"/>
        <w:rPr>
          <w:color w:val="auto"/>
        </w:rPr>
      </w:pPr>
      <w:bookmarkStart w:id="79" w:name="_Toc26689"/>
      <w:bookmarkStart w:id="80" w:name="_Toc154390265"/>
      <w:bookmarkStart w:id="81" w:name="_Toc151560267"/>
      <w:bookmarkStart w:id="82" w:name="_Toc24732"/>
      <w:bookmarkStart w:id="83" w:name="_Toc159856837"/>
      <w:bookmarkStart w:id="84" w:name="_Toc148086987"/>
      <w:r>
        <w:rPr>
          <w:rFonts w:hint="eastAsia"/>
          <w:color w:val="auto"/>
        </w:rPr>
        <w:t>能源</w:t>
      </w:r>
      <w:r>
        <w:rPr>
          <w:color w:val="auto"/>
        </w:rPr>
        <w:t>审计</w:t>
      </w:r>
      <w:bookmarkEnd w:id="79"/>
      <w:bookmarkEnd w:id="80"/>
      <w:bookmarkEnd w:id="81"/>
      <w:bookmarkEnd w:id="82"/>
      <w:bookmarkEnd w:id="83"/>
      <w:bookmarkEnd w:id="84"/>
    </w:p>
    <w:p>
      <w:pPr>
        <w:pStyle w:val="68"/>
        <w:rPr>
          <w:color w:val="auto"/>
        </w:rPr>
      </w:pPr>
      <w:r>
        <w:rPr>
          <w:rFonts w:hint="eastAsia"/>
          <w:color w:val="auto"/>
        </w:rPr>
        <w:t>3年～5</w:t>
      </w:r>
      <w:r>
        <w:rPr>
          <w:color w:val="auto"/>
        </w:rPr>
        <w:t>年</w:t>
      </w:r>
      <w:r>
        <w:rPr>
          <w:rFonts w:hint="eastAsia"/>
          <w:color w:val="auto"/>
        </w:rPr>
        <w:t>开展一次</w:t>
      </w:r>
      <w:r>
        <w:rPr>
          <w:color w:val="auto"/>
        </w:rPr>
        <w:t>能源审计，</w:t>
      </w:r>
      <w:r>
        <w:rPr>
          <w:rFonts w:hint="eastAsia"/>
          <w:color w:val="auto"/>
        </w:rPr>
        <w:t>评价</w:t>
      </w:r>
      <w:r>
        <w:rPr>
          <w:color w:val="auto"/>
        </w:rPr>
        <w:t>本单位用能系统、设备的运行及使用能源情况</w:t>
      </w:r>
      <w:r>
        <w:rPr>
          <w:rFonts w:hint="eastAsia"/>
          <w:color w:val="auto"/>
        </w:rPr>
        <w:t>。</w:t>
      </w:r>
    </w:p>
    <w:p>
      <w:pPr>
        <w:pStyle w:val="68"/>
        <w:rPr>
          <w:color w:val="auto"/>
        </w:rPr>
      </w:pPr>
      <w:r>
        <w:rPr>
          <w:rFonts w:hint="eastAsia"/>
          <w:color w:val="auto"/>
        </w:rPr>
        <w:t>能源</w:t>
      </w:r>
      <w:r>
        <w:rPr>
          <w:color w:val="auto"/>
        </w:rPr>
        <w:t>审计内容应</w:t>
      </w:r>
      <w:r>
        <w:rPr>
          <w:rFonts w:hint="eastAsia"/>
          <w:color w:val="auto"/>
        </w:rPr>
        <w:t>根据能源</w:t>
      </w:r>
      <w:r>
        <w:rPr>
          <w:color w:val="auto"/>
        </w:rPr>
        <w:t>审计的目的和要求，结合本单位能源管理实际状况，</w:t>
      </w:r>
      <w:r>
        <w:rPr>
          <w:rFonts w:hint="eastAsia"/>
          <w:color w:val="auto"/>
        </w:rPr>
        <w:t>包括以下内容</w:t>
      </w:r>
      <w:r>
        <w:rPr>
          <w:color w:val="auto"/>
        </w:rPr>
        <w:t>：</w:t>
      </w:r>
    </w:p>
    <w:p>
      <w:pPr>
        <w:pStyle w:val="77"/>
        <w:numPr>
          <w:ilvl w:val="0"/>
          <w:numId w:val="13"/>
        </w:numPr>
        <w:rPr>
          <w:rFonts w:hint="eastAsia"/>
          <w:color w:val="auto"/>
        </w:rPr>
      </w:pPr>
      <w:r>
        <w:rPr>
          <w:rFonts w:hint="eastAsia"/>
          <w:color w:val="auto"/>
        </w:rPr>
        <w:t>查阅建筑物竣工验收资料和用能系统、设备台账资料，检查节能设计标准的执行情况；</w:t>
      </w:r>
    </w:p>
    <w:p>
      <w:pPr>
        <w:pStyle w:val="77"/>
        <w:numPr>
          <w:ilvl w:val="0"/>
          <w:numId w:val="13"/>
        </w:numPr>
        <w:rPr>
          <w:rFonts w:hint="eastAsia"/>
          <w:color w:val="auto"/>
        </w:rPr>
      </w:pPr>
      <w:r>
        <w:rPr>
          <w:rFonts w:hint="eastAsia"/>
          <w:color w:val="auto"/>
        </w:rPr>
        <w:t>审查年度节能计划，核对电、气、煤、油、水、市政热力等能源消耗计量记录和财务账单，评估分类与分项的总能耗、人均能耗、单位建筑面积能耗及碳排放强度；</w:t>
      </w:r>
    </w:p>
    <w:p>
      <w:pPr>
        <w:pStyle w:val="77"/>
        <w:rPr>
          <w:color w:val="auto"/>
        </w:rPr>
      </w:pPr>
      <w:r>
        <w:rPr>
          <w:rFonts w:hint="eastAsia"/>
          <w:color w:val="auto"/>
        </w:rPr>
        <w:t>检查</w:t>
      </w:r>
      <w:r>
        <w:rPr>
          <w:color w:val="auto"/>
        </w:rPr>
        <w:t>用能系统、设备的运行状况，审查节能管理制度执行情况；</w:t>
      </w:r>
    </w:p>
    <w:p>
      <w:pPr>
        <w:pStyle w:val="77"/>
        <w:rPr>
          <w:color w:val="auto"/>
        </w:rPr>
      </w:pPr>
      <w:r>
        <w:rPr>
          <w:rFonts w:hint="eastAsia"/>
          <w:color w:val="auto"/>
        </w:rPr>
        <w:t>检查</w:t>
      </w:r>
      <w:r>
        <w:rPr>
          <w:color w:val="auto"/>
        </w:rPr>
        <w:t>前一次能源审计合理</w:t>
      </w:r>
      <w:r>
        <w:rPr>
          <w:rFonts w:hint="eastAsia"/>
          <w:color w:val="auto"/>
        </w:rPr>
        <w:t>使用</w:t>
      </w:r>
      <w:r>
        <w:rPr>
          <w:color w:val="auto"/>
        </w:rPr>
        <w:t>能源建议的落实情况；</w:t>
      </w:r>
    </w:p>
    <w:p>
      <w:pPr>
        <w:pStyle w:val="77"/>
        <w:rPr>
          <w:color w:val="auto"/>
        </w:rPr>
      </w:pPr>
      <w:r>
        <w:rPr>
          <w:rFonts w:hint="eastAsia"/>
          <w:color w:val="auto"/>
        </w:rPr>
        <w:t>查找</w:t>
      </w:r>
      <w:r>
        <w:rPr>
          <w:color w:val="auto"/>
        </w:rPr>
        <w:t>存在节能潜力的用能环节或者部位，提出合理使用能源的建议，</w:t>
      </w:r>
      <w:r>
        <w:rPr>
          <w:rFonts w:hint="eastAsia"/>
          <w:color w:val="auto"/>
        </w:rPr>
        <w:t>应</w:t>
      </w:r>
      <w:r>
        <w:rPr>
          <w:color w:val="auto"/>
        </w:rPr>
        <w:t>包括以下内容：</w:t>
      </w:r>
    </w:p>
    <w:p>
      <w:pPr>
        <w:pStyle w:val="78"/>
        <w:rPr>
          <w:color w:val="auto"/>
        </w:rPr>
      </w:pPr>
      <w:r>
        <w:rPr>
          <w:rFonts w:hint="eastAsia"/>
          <w:color w:val="auto"/>
        </w:rPr>
        <w:t>审查</w:t>
      </w:r>
      <w:r>
        <w:rPr>
          <w:color w:val="auto"/>
        </w:rPr>
        <w:t>能源计量器具的运行情况，检查能耗统计数据的真实性、准确</w:t>
      </w:r>
      <w:r>
        <w:rPr>
          <w:rFonts w:hint="eastAsia"/>
          <w:color w:val="auto"/>
        </w:rPr>
        <w:t>性；</w:t>
      </w:r>
    </w:p>
    <w:p>
      <w:pPr>
        <w:pStyle w:val="78"/>
        <w:rPr>
          <w:color w:val="auto"/>
        </w:rPr>
      </w:pPr>
      <w:r>
        <w:rPr>
          <w:rFonts w:hint="eastAsia"/>
          <w:color w:val="auto"/>
        </w:rPr>
        <w:t>审查已开展的节能改造项目的实施情况并对节能效果评价。</w:t>
      </w:r>
    </w:p>
    <w:p>
      <w:pPr>
        <w:pStyle w:val="68"/>
        <w:rPr>
          <w:color w:val="auto"/>
        </w:rPr>
      </w:pPr>
      <w:r>
        <w:rPr>
          <w:rFonts w:hint="eastAsia"/>
          <w:color w:val="auto"/>
        </w:rPr>
        <w:t>被审计单位如有太阳能、风能、地热能、生物能等清洁能源应用，应对其利用情况进行评价。</w:t>
      </w:r>
    </w:p>
    <w:p>
      <w:pPr>
        <w:pStyle w:val="65"/>
        <w:spacing w:before="156" w:after="156"/>
        <w:rPr>
          <w:color w:val="auto"/>
        </w:rPr>
      </w:pPr>
      <w:bookmarkStart w:id="85" w:name="_Toc154390266"/>
      <w:bookmarkStart w:id="86" w:name="_Toc5172"/>
      <w:bookmarkStart w:id="87" w:name="_Toc148086988"/>
      <w:bookmarkStart w:id="88" w:name="_Toc159856838"/>
      <w:bookmarkStart w:id="89" w:name="_Toc14979"/>
      <w:bookmarkStart w:id="90" w:name="_Toc151560268"/>
      <w:r>
        <w:rPr>
          <w:rFonts w:hint="eastAsia"/>
          <w:color w:val="auto"/>
        </w:rPr>
        <w:t>更新</w:t>
      </w:r>
      <w:r>
        <w:rPr>
          <w:color w:val="auto"/>
        </w:rPr>
        <w:t>改造</w:t>
      </w:r>
      <w:bookmarkEnd w:id="85"/>
      <w:bookmarkEnd w:id="86"/>
      <w:bookmarkEnd w:id="87"/>
      <w:bookmarkEnd w:id="88"/>
      <w:bookmarkEnd w:id="89"/>
      <w:bookmarkEnd w:id="90"/>
    </w:p>
    <w:p>
      <w:pPr>
        <w:pStyle w:val="68"/>
        <w:rPr>
          <w:color w:val="auto"/>
        </w:rPr>
      </w:pPr>
      <w:r>
        <w:rPr>
          <w:rFonts w:hint="eastAsia"/>
          <w:color w:val="auto"/>
        </w:rPr>
        <w:t>公共</w:t>
      </w:r>
      <w:r>
        <w:rPr>
          <w:color w:val="auto"/>
        </w:rPr>
        <w:t>建筑的节能方案设计和节能改造</w:t>
      </w:r>
      <w:r>
        <w:rPr>
          <w:rFonts w:hint="eastAsia"/>
          <w:color w:val="auto"/>
        </w:rPr>
        <w:t>实施</w:t>
      </w:r>
      <w:r>
        <w:rPr>
          <w:color w:val="auto"/>
        </w:rPr>
        <w:t xml:space="preserve">应符合GB </w:t>
      </w:r>
      <w:r>
        <w:rPr>
          <w:rFonts w:hint="eastAsia"/>
          <w:color w:val="auto"/>
        </w:rPr>
        <w:t>55015、</w:t>
      </w:r>
      <w:r>
        <w:rPr>
          <w:color w:val="auto"/>
        </w:rPr>
        <w:t>JGJ 176</w:t>
      </w:r>
      <w:r>
        <w:rPr>
          <w:rFonts w:hint="eastAsia"/>
          <w:color w:val="auto"/>
        </w:rPr>
        <w:t>，采用新型</w:t>
      </w:r>
      <w:r>
        <w:rPr>
          <w:color w:val="auto"/>
        </w:rPr>
        <w:t>节能技术</w:t>
      </w:r>
      <w:r>
        <w:rPr>
          <w:rFonts w:hint="eastAsia"/>
          <w:color w:val="auto"/>
        </w:rPr>
        <w:t>产品的应满足相应标准的</w:t>
      </w:r>
      <w:r>
        <w:rPr>
          <w:color w:val="auto"/>
        </w:rPr>
        <w:t>要求，提高</w:t>
      </w:r>
      <w:r>
        <w:rPr>
          <w:rFonts w:hint="eastAsia"/>
          <w:color w:val="auto"/>
        </w:rPr>
        <w:t>能源资源利用</w:t>
      </w:r>
      <w:r>
        <w:rPr>
          <w:color w:val="auto"/>
        </w:rPr>
        <w:t>效率。</w:t>
      </w:r>
    </w:p>
    <w:p>
      <w:pPr>
        <w:pStyle w:val="68"/>
        <w:rPr>
          <w:color w:val="auto"/>
        </w:rPr>
      </w:pPr>
      <w:r>
        <w:rPr>
          <w:rFonts w:hint="eastAsia"/>
          <w:color w:val="auto"/>
        </w:rPr>
        <w:t>设施</w:t>
      </w:r>
      <w:r>
        <w:rPr>
          <w:color w:val="auto"/>
        </w:rPr>
        <w:t>设备、办公用品的更新</w:t>
      </w:r>
      <w:r>
        <w:rPr>
          <w:rFonts w:hint="eastAsia"/>
          <w:color w:val="auto"/>
        </w:rPr>
        <w:t>和</w:t>
      </w:r>
      <w:r>
        <w:rPr>
          <w:color w:val="auto"/>
        </w:rPr>
        <w:t>新购</w:t>
      </w:r>
      <w:r>
        <w:rPr>
          <w:rFonts w:hint="eastAsia"/>
          <w:color w:val="auto"/>
        </w:rPr>
        <w:t>应考虑设备</w:t>
      </w:r>
      <w:r>
        <w:rPr>
          <w:color w:val="auto"/>
        </w:rPr>
        <w:t>的全生命周期能耗，</w:t>
      </w:r>
      <w:r>
        <w:rPr>
          <w:rFonts w:hint="eastAsia"/>
          <w:color w:val="auto"/>
        </w:rPr>
        <w:t>优先</w:t>
      </w:r>
      <w:r>
        <w:rPr>
          <w:color w:val="auto"/>
        </w:rPr>
        <w:t>选择</w:t>
      </w:r>
      <w:r>
        <w:rPr>
          <w:rFonts w:hint="eastAsia"/>
          <w:color w:val="auto"/>
        </w:rPr>
        <w:t>利用</w:t>
      </w:r>
      <w:r>
        <w:rPr>
          <w:color w:val="auto"/>
        </w:rPr>
        <w:t>清洁能源</w:t>
      </w:r>
      <w:r>
        <w:rPr>
          <w:rFonts w:hint="eastAsia"/>
          <w:color w:val="auto"/>
        </w:rPr>
        <w:t>或能效等级较高的系统或设备</w:t>
      </w:r>
      <w:r>
        <w:rPr>
          <w:color w:val="auto"/>
        </w:rPr>
        <w:t>。</w:t>
      </w:r>
    </w:p>
    <w:p>
      <w:pPr>
        <w:pStyle w:val="68"/>
        <w:rPr>
          <w:color w:val="auto"/>
        </w:rPr>
      </w:pPr>
      <w:r>
        <w:rPr>
          <w:rFonts w:hint="eastAsia"/>
          <w:color w:val="auto"/>
        </w:rPr>
        <w:t>应在数据中心主管部门支持下积极</w:t>
      </w:r>
      <w:r>
        <w:rPr>
          <w:color w:val="auto"/>
        </w:rPr>
        <w:t>推进数据中心</w:t>
      </w:r>
      <w:r>
        <w:rPr>
          <w:rFonts w:hint="eastAsia"/>
          <w:color w:val="auto"/>
        </w:rPr>
        <w:t>绿色</w:t>
      </w:r>
      <w:r>
        <w:rPr>
          <w:color w:val="auto"/>
        </w:rPr>
        <w:t>节能改造。</w:t>
      </w:r>
    </w:p>
    <w:p>
      <w:pPr>
        <w:pStyle w:val="68"/>
        <w:rPr>
          <w:color w:val="auto"/>
        </w:rPr>
      </w:pPr>
      <w:r>
        <w:rPr>
          <w:rFonts w:hint="eastAsia"/>
          <w:color w:val="auto"/>
        </w:rPr>
        <w:t>新建</w:t>
      </w:r>
      <w:r>
        <w:rPr>
          <w:color w:val="auto"/>
        </w:rPr>
        <w:t>、扩建和改建的各级公共机构办公区的节能运行管理参照GB/T 36710</w:t>
      </w:r>
      <w:r>
        <w:rPr>
          <w:rFonts w:hint="eastAsia"/>
          <w:color w:val="auto"/>
        </w:rPr>
        <w:t>的</w:t>
      </w:r>
      <w:r>
        <w:rPr>
          <w:color w:val="auto"/>
        </w:rPr>
        <w:t>规定执行。</w:t>
      </w:r>
    </w:p>
    <w:p>
      <w:pPr>
        <w:pStyle w:val="68"/>
        <w:rPr>
          <w:color w:val="auto"/>
        </w:rPr>
      </w:pPr>
      <w:r>
        <w:rPr>
          <w:rFonts w:hint="eastAsia"/>
          <w:color w:val="auto"/>
        </w:rPr>
        <w:t>鼓励采用合同能源管理、能源托管等市场化模式进行能源管理或节能改造</w:t>
      </w:r>
      <w:r>
        <w:rPr>
          <w:color w:val="auto"/>
        </w:rPr>
        <w:t>，合同能源管理项目的实施可参照GB/T 24915</w:t>
      </w:r>
      <w:r>
        <w:rPr>
          <w:rFonts w:hint="eastAsia"/>
          <w:color w:val="auto"/>
        </w:rPr>
        <w:t>的</w:t>
      </w:r>
      <w:r>
        <w:rPr>
          <w:color w:val="auto"/>
        </w:rPr>
        <w:t>规定执行。</w:t>
      </w:r>
    </w:p>
    <w:p>
      <w:pPr>
        <w:pStyle w:val="68"/>
        <w:rPr>
          <w:color w:val="auto"/>
        </w:rPr>
      </w:pPr>
      <w:r>
        <w:rPr>
          <w:rFonts w:hint="eastAsia"/>
          <w:color w:val="auto"/>
        </w:rPr>
        <w:t>改造完成后</w:t>
      </w:r>
      <w:r>
        <w:rPr>
          <w:rFonts w:hint="eastAsia"/>
          <w:color w:val="auto"/>
          <w:highlight w:val="none"/>
        </w:rPr>
        <w:t>宜以</w:t>
      </w:r>
      <w:r>
        <w:rPr>
          <w:rFonts w:hint="eastAsia"/>
          <w:color w:val="auto"/>
        </w:rPr>
        <w:t>一年为周期开展改造效果评价。之后应结合能源审计挖掘潜力并不断持续改进。</w:t>
      </w:r>
    </w:p>
    <w:p>
      <w:pPr>
        <w:pStyle w:val="65"/>
        <w:spacing w:before="156" w:after="156"/>
        <w:rPr>
          <w:color w:val="auto"/>
        </w:rPr>
      </w:pPr>
      <w:bookmarkStart w:id="91" w:name="_Toc221"/>
      <w:bookmarkStart w:id="92" w:name="_Toc159856839"/>
      <w:bookmarkStart w:id="93" w:name="_Toc27251"/>
      <w:bookmarkStart w:id="94" w:name="_Toc151560269"/>
      <w:bookmarkStart w:id="95" w:name="_Toc154390267"/>
      <w:bookmarkStart w:id="96" w:name="_Toc148086989"/>
      <w:r>
        <w:rPr>
          <w:color w:val="auto"/>
        </w:rPr>
        <w:t>产品采购</w:t>
      </w:r>
      <w:bookmarkEnd w:id="91"/>
      <w:bookmarkEnd w:id="92"/>
      <w:bookmarkEnd w:id="93"/>
      <w:bookmarkEnd w:id="94"/>
      <w:bookmarkEnd w:id="95"/>
      <w:bookmarkEnd w:id="96"/>
    </w:p>
    <w:p>
      <w:pPr>
        <w:pStyle w:val="68"/>
        <w:rPr>
          <w:color w:val="auto"/>
        </w:rPr>
      </w:pPr>
      <w:r>
        <w:rPr>
          <w:rFonts w:hint="eastAsia"/>
          <w:color w:val="auto"/>
        </w:rPr>
        <w:t>应按照《公共机构节能条例》的规定采购节能产品</w:t>
      </w:r>
      <w:r>
        <w:rPr>
          <w:color w:val="auto"/>
        </w:rPr>
        <w:t>。</w:t>
      </w:r>
    </w:p>
    <w:p>
      <w:pPr>
        <w:pStyle w:val="68"/>
        <w:rPr>
          <w:color w:val="auto"/>
        </w:rPr>
      </w:pPr>
      <w:r>
        <w:rPr>
          <w:rFonts w:hint="eastAsia"/>
          <w:color w:val="auto"/>
        </w:rPr>
        <w:t>在政府采购活动中，应综合考虑环保、低碳、循环再生等因素，优先采购绿色产品和服务。</w:t>
      </w:r>
    </w:p>
    <w:p>
      <w:pPr>
        <w:pStyle w:val="68"/>
        <w:rPr>
          <w:color w:val="auto"/>
        </w:rPr>
      </w:pPr>
      <w:r>
        <w:rPr>
          <w:rFonts w:hint="eastAsia"/>
          <w:color w:val="auto"/>
        </w:rPr>
        <w:t>坚持</w:t>
      </w:r>
      <w:r>
        <w:rPr>
          <w:color w:val="auto"/>
        </w:rPr>
        <w:t>大宗办公用品集中采购制度，严格审核控制办公</w:t>
      </w:r>
      <w:r>
        <w:rPr>
          <w:rFonts w:hint="eastAsia"/>
          <w:color w:val="auto"/>
        </w:rPr>
        <w:t>设备</w:t>
      </w:r>
      <w:r>
        <w:rPr>
          <w:color w:val="auto"/>
        </w:rPr>
        <w:t>限额和标准，优先采购节能高效、</w:t>
      </w:r>
      <w:r>
        <w:rPr>
          <w:rFonts w:hint="eastAsia"/>
          <w:color w:val="auto"/>
        </w:rPr>
        <w:t>对于</w:t>
      </w:r>
      <w:r>
        <w:rPr>
          <w:color w:val="auto"/>
        </w:rPr>
        <w:t>大型用能设备的选型</w:t>
      </w:r>
      <w:r>
        <w:rPr>
          <w:color w:val="auto"/>
          <w:highlight w:val="none"/>
        </w:rPr>
        <w:t>，</w:t>
      </w:r>
      <w:r>
        <w:rPr>
          <w:rFonts w:hint="eastAsia"/>
          <w:color w:val="auto"/>
          <w:highlight w:val="none"/>
          <w:lang w:val="en-US" w:eastAsia="zh-CN"/>
        </w:rPr>
        <w:t>应</w:t>
      </w:r>
      <w:r>
        <w:rPr>
          <w:rFonts w:hint="eastAsia"/>
          <w:color w:val="auto"/>
          <w:highlight w:val="none"/>
        </w:rPr>
        <w:t>综</w:t>
      </w:r>
      <w:r>
        <w:rPr>
          <w:rFonts w:hint="eastAsia"/>
          <w:color w:val="auto"/>
        </w:rPr>
        <w:t>合</w:t>
      </w:r>
      <w:r>
        <w:rPr>
          <w:color w:val="auto"/>
        </w:rPr>
        <w:t>考虑采购价格</w:t>
      </w:r>
      <w:r>
        <w:rPr>
          <w:rFonts w:hint="eastAsia"/>
          <w:color w:val="auto"/>
        </w:rPr>
        <w:t>、</w:t>
      </w:r>
      <w:r>
        <w:rPr>
          <w:color w:val="auto"/>
        </w:rPr>
        <w:t>预期使用寿命周期内的运行成本</w:t>
      </w:r>
      <w:r>
        <w:rPr>
          <w:rFonts w:hint="eastAsia"/>
          <w:color w:val="auto"/>
        </w:rPr>
        <w:t>、经济和生态回报率等评价因素</w:t>
      </w:r>
      <w:r>
        <w:rPr>
          <w:color w:val="auto"/>
        </w:rPr>
        <w:t>。</w:t>
      </w:r>
    </w:p>
    <w:p>
      <w:pPr>
        <w:pStyle w:val="65"/>
        <w:spacing w:before="156" w:after="156"/>
        <w:rPr>
          <w:color w:val="auto"/>
        </w:rPr>
      </w:pPr>
      <w:bookmarkStart w:id="97" w:name="_Toc148086990"/>
      <w:bookmarkStart w:id="98" w:name="_Toc159856840"/>
      <w:bookmarkStart w:id="99" w:name="_Toc29661"/>
      <w:bookmarkStart w:id="100" w:name="_Toc151560270"/>
      <w:bookmarkStart w:id="101" w:name="_Toc154390268"/>
      <w:bookmarkStart w:id="102" w:name="_Toc22104"/>
      <w:r>
        <w:rPr>
          <w:rFonts w:hint="eastAsia"/>
          <w:color w:val="auto"/>
        </w:rPr>
        <w:t>宣传</w:t>
      </w:r>
      <w:r>
        <w:rPr>
          <w:color w:val="auto"/>
        </w:rPr>
        <w:t>培训</w:t>
      </w:r>
      <w:bookmarkEnd w:id="97"/>
      <w:bookmarkEnd w:id="98"/>
      <w:bookmarkEnd w:id="99"/>
      <w:bookmarkEnd w:id="100"/>
      <w:bookmarkEnd w:id="101"/>
      <w:bookmarkEnd w:id="102"/>
    </w:p>
    <w:p>
      <w:pPr>
        <w:pStyle w:val="68"/>
        <w:rPr>
          <w:color w:val="auto"/>
        </w:rPr>
      </w:pPr>
      <w:r>
        <w:rPr>
          <w:rFonts w:hint="eastAsia"/>
          <w:color w:val="auto"/>
        </w:rPr>
        <w:t>公共</w:t>
      </w:r>
      <w:r>
        <w:rPr>
          <w:color w:val="auto"/>
        </w:rPr>
        <w:t>机构应在办公区域、</w:t>
      </w:r>
      <w:r>
        <w:rPr>
          <w:rFonts w:hint="eastAsia"/>
          <w:color w:val="auto"/>
        </w:rPr>
        <w:t>用能</w:t>
      </w:r>
      <w:r>
        <w:rPr>
          <w:color w:val="auto"/>
        </w:rPr>
        <w:t>场所或节能器具的显著位置上张贴节能标语或标识。</w:t>
      </w:r>
    </w:p>
    <w:p>
      <w:pPr>
        <w:pStyle w:val="68"/>
        <w:rPr>
          <w:color w:val="auto"/>
        </w:rPr>
      </w:pPr>
      <w:r>
        <w:rPr>
          <w:rFonts w:hint="eastAsia"/>
          <w:color w:val="auto"/>
        </w:rPr>
        <w:t>每年</w:t>
      </w:r>
      <w:r>
        <w:rPr>
          <w:color w:val="auto"/>
        </w:rPr>
        <w:t>应开展</w:t>
      </w:r>
      <w:r>
        <w:rPr>
          <w:rFonts w:hint="eastAsia"/>
          <w:color w:val="auto"/>
        </w:rPr>
        <w:t>2次</w:t>
      </w:r>
      <w:r>
        <w:rPr>
          <w:color w:val="auto"/>
        </w:rPr>
        <w:t>以上的节能知识宣传、专题讲座等活动，可在全国节能宣传周（</w:t>
      </w:r>
      <w:r>
        <w:rPr>
          <w:rFonts w:hint="eastAsia"/>
          <w:color w:val="auto"/>
        </w:rPr>
        <w:t>月</w:t>
      </w:r>
      <w:r>
        <w:rPr>
          <w:color w:val="auto"/>
        </w:rPr>
        <w:t>）</w:t>
      </w:r>
      <w:r>
        <w:rPr>
          <w:rFonts w:hint="eastAsia"/>
          <w:color w:val="auto"/>
        </w:rPr>
        <w:t>或</w:t>
      </w:r>
      <w:r>
        <w:rPr>
          <w:color w:val="auto"/>
        </w:rPr>
        <w:t>日常工作期间举行。宣传推广内</w:t>
      </w:r>
      <w:r>
        <w:rPr>
          <w:color w:val="auto"/>
          <w:highlight w:val="none"/>
        </w:rPr>
        <w:t>容宜包括新</w:t>
      </w:r>
      <w:r>
        <w:rPr>
          <w:color w:val="auto"/>
        </w:rPr>
        <w:t>能源、新型节能技术、合同能源管理项目等。</w:t>
      </w:r>
    </w:p>
    <w:p>
      <w:pPr>
        <w:pStyle w:val="68"/>
        <w:rPr>
          <w:color w:val="auto"/>
        </w:rPr>
      </w:pPr>
      <w:r>
        <w:rPr>
          <w:rFonts w:hint="eastAsia"/>
          <w:color w:val="auto"/>
        </w:rPr>
        <w:t>每年</w:t>
      </w:r>
      <w:r>
        <w:rPr>
          <w:color w:val="auto"/>
        </w:rPr>
        <w:t>应开展节能培训，培训对象包括管理、设备操作、专业技术等相关人员，培训内容包括但不限于：</w:t>
      </w:r>
    </w:p>
    <w:p>
      <w:pPr>
        <w:pStyle w:val="77"/>
        <w:numPr>
          <w:ilvl w:val="0"/>
          <w:numId w:val="14"/>
        </w:numPr>
        <w:rPr>
          <w:color w:val="auto"/>
        </w:rPr>
      </w:pPr>
      <w:r>
        <w:rPr>
          <w:rFonts w:hint="eastAsia"/>
          <w:color w:val="auto"/>
        </w:rPr>
        <w:t>有关节能管理的法律、法规、规章和标准；</w:t>
      </w:r>
    </w:p>
    <w:p>
      <w:pPr>
        <w:pStyle w:val="77"/>
        <w:numPr>
          <w:ilvl w:val="0"/>
          <w:numId w:val="14"/>
        </w:numPr>
        <w:rPr>
          <w:color w:val="auto"/>
        </w:rPr>
      </w:pPr>
      <w:r>
        <w:rPr>
          <w:color w:val="auto"/>
        </w:rPr>
        <w:t>重点用能</w:t>
      </w:r>
      <w:r>
        <w:rPr>
          <w:rFonts w:hint="eastAsia"/>
          <w:color w:val="auto"/>
        </w:rPr>
        <w:t>系统的节能常识；</w:t>
      </w:r>
    </w:p>
    <w:p>
      <w:pPr>
        <w:pStyle w:val="77"/>
        <w:numPr>
          <w:ilvl w:val="0"/>
          <w:numId w:val="14"/>
        </w:numPr>
        <w:rPr>
          <w:color w:val="auto"/>
        </w:rPr>
      </w:pPr>
      <w:r>
        <w:rPr>
          <w:color w:val="auto"/>
        </w:rPr>
        <w:t>节能生活和工作模式的可行性做法。</w:t>
      </w:r>
    </w:p>
    <w:p>
      <w:pPr>
        <w:pStyle w:val="68"/>
        <w:rPr>
          <w:color w:val="auto"/>
        </w:rPr>
      </w:pPr>
      <w:r>
        <w:rPr>
          <w:rFonts w:hint="eastAsia"/>
          <w:color w:val="auto"/>
        </w:rPr>
        <w:t>鼓励</w:t>
      </w:r>
      <w:r>
        <w:rPr>
          <w:color w:val="auto"/>
        </w:rPr>
        <w:t>员工</w:t>
      </w:r>
      <w:r>
        <w:rPr>
          <w:rFonts w:hint="eastAsia"/>
          <w:color w:val="auto"/>
        </w:rPr>
        <w:t>分享</w:t>
      </w:r>
      <w:r>
        <w:rPr>
          <w:color w:val="auto"/>
        </w:rPr>
        <w:t>节能经验，创新节能方法，营造</w:t>
      </w:r>
      <w:r>
        <w:rPr>
          <w:rFonts w:hint="eastAsia"/>
          <w:color w:val="auto"/>
        </w:rPr>
        <w:t>良好</w:t>
      </w:r>
      <w:r>
        <w:rPr>
          <w:color w:val="auto"/>
        </w:rPr>
        <w:t>节能氛围。</w:t>
      </w:r>
    </w:p>
    <w:p>
      <w:pPr>
        <w:pStyle w:val="66"/>
        <w:spacing w:before="312" w:after="312"/>
        <w:rPr>
          <w:color w:val="auto"/>
        </w:rPr>
      </w:pPr>
      <w:bookmarkStart w:id="103" w:name="_Toc159856841"/>
      <w:bookmarkStart w:id="104" w:name="_Toc16818"/>
      <w:bookmarkStart w:id="105" w:name="_Toc4194"/>
      <w:bookmarkStart w:id="106" w:name="_Toc151560271"/>
      <w:bookmarkStart w:id="107" w:name="_Toc154390269"/>
      <w:bookmarkStart w:id="108" w:name="_Toc148086991"/>
      <w:r>
        <w:rPr>
          <w:rFonts w:hint="eastAsia"/>
          <w:color w:val="auto"/>
        </w:rPr>
        <w:t>日常节能</w:t>
      </w:r>
      <w:r>
        <w:rPr>
          <w:color w:val="auto"/>
        </w:rPr>
        <w:t>要求</w:t>
      </w:r>
      <w:bookmarkEnd w:id="103"/>
      <w:bookmarkEnd w:id="104"/>
      <w:bookmarkEnd w:id="105"/>
      <w:bookmarkEnd w:id="106"/>
      <w:bookmarkEnd w:id="107"/>
      <w:bookmarkEnd w:id="108"/>
    </w:p>
    <w:p>
      <w:pPr>
        <w:pStyle w:val="65"/>
        <w:spacing w:before="156" w:after="156"/>
        <w:rPr>
          <w:color w:val="auto"/>
        </w:rPr>
      </w:pPr>
      <w:bookmarkStart w:id="109" w:name="_Toc148086992"/>
      <w:bookmarkStart w:id="110" w:name="_Toc151560272"/>
      <w:bookmarkStart w:id="111" w:name="_Toc154390270"/>
      <w:bookmarkStart w:id="112" w:name="_Toc17204"/>
      <w:bookmarkStart w:id="113" w:name="_Toc16821"/>
      <w:bookmarkStart w:id="114" w:name="_Toc159856842"/>
      <w:r>
        <w:rPr>
          <w:rFonts w:hint="eastAsia"/>
          <w:color w:val="auto"/>
        </w:rPr>
        <w:t>用电</w:t>
      </w:r>
      <w:r>
        <w:rPr>
          <w:color w:val="auto"/>
        </w:rPr>
        <w:t>要求</w:t>
      </w:r>
      <w:bookmarkEnd w:id="109"/>
      <w:bookmarkEnd w:id="110"/>
      <w:bookmarkEnd w:id="111"/>
      <w:bookmarkEnd w:id="112"/>
      <w:bookmarkEnd w:id="113"/>
      <w:bookmarkEnd w:id="114"/>
    </w:p>
    <w:p>
      <w:pPr>
        <w:pStyle w:val="69"/>
        <w:spacing w:before="156" w:after="156"/>
        <w:rPr>
          <w:color w:val="auto"/>
        </w:rPr>
      </w:pPr>
      <w:bookmarkStart w:id="115" w:name="_Toc19942"/>
      <w:r>
        <w:rPr>
          <w:rFonts w:hint="eastAsia"/>
          <w:color w:val="auto"/>
        </w:rPr>
        <w:t>照明用电</w:t>
      </w:r>
      <w:bookmarkEnd w:id="115"/>
    </w:p>
    <w:p>
      <w:pPr>
        <w:pStyle w:val="79"/>
        <w:rPr>
          <w:color w:val="auto"/>
        </w:rPr>
      </w:pPr>
      <w:r>
        <w:rPr>
          <w:rFonts w:hint="eastAsia"/>
          <w:color w:val="auto"/>
        </w:rPr>
        <w:t>除节假日</w:t>
      </w:r>
      <w:r>
        <w:rPr>
          <w:color w:val="auto"/>
        </w:rPr>
        <w:t>或</w:t>
      </w:r>
      <w:r>
        <w:rPr>
          <w:rFonts w:hint="eastAsia"/>
          <w:color w:val="auto"/>
        </w:rPr>
        <w:t>重大活动</w:t>
      </w:r>
      <w:r>
        <w:rPr>
          <w:color w:val="auto"/>
        </w:rPr>
        <w:t>外，公共机构办公大楼</w:t>
      </w:r>
      <w:r>
        <w:rPr>
          <w:rFonts w:hint="eastAsia"/>
          <w:color w:val="auto"/>
          <w:highlight w:val="none"/>
          <w:lang w:val="en-US" w:eastAsia="zh-CN"/>
        </w:rPr>
        <w:t>应</w:t>
      </w:r>
      <w:r>
        <w:rPr>
          <w:color w:val="auto"/>
          <w:highlight w:val="none"/>
        </w:rPr>
        <w:t>关闭</w:t>
      </w:r>
      <w:r>
        <w:rPr>
          <w:color w:val="auto"/>
        </w:rPr>
        <w:t>景观照明。</w:t>
      </w:r>
    </w:p>
    <w:p>
      <w:pPr>
        <w:pStyle w:val="79"/>
        <w:rPr>
          <w:color w:val="auto"/>
        </w:rPr>
      </w:pPr>
      <w:r>
        <w:rPr>
          <w:rFonts w:hint="eastAsia"/>
          <w:color w:val="auto"/>
        </w:rPr>
        <w:t>鼓励公共</w:t>
      </w:r>
      <w:r>
        <w:rPr>
          <w:color w:val="auto"/>
        </w:rPr>
        <w:t>机构优先使用</w:t>
      </w:r>
      <w:r>
        <w:rPr>
          <w:rFonts w:hint="eastAsia"/>
          <w:color w:val="auto"/>
        </w:rPr>
        <w:t>节能型</w:t>
      </w:r>
      <w:r>
        <w:rPr>
          <w:color w:val="auto"/>
        </w:rPr>
        <w:t>灯具，</w:t>
      </w:r>
      <w:r>
        <w:rPr>
          <w:rFonts w:hint="eastAsia"/>
          <w:color w:val="auto"/>
        </w:rPr>
        <w:t>户外提倡使用太阳能路灯及照明设施，</w:t>
      </w:r>
      <w:r>
        <w:rPr>
          <w:color w:val="auto"/>
        </w:rPr>
        <w:t>减少能源资源浪费。</w:t>
      </w:r>
    </w:p>
    <w:p>
      <w:pPr>
        <w:pStyle w:val="79"/>
        <w:rPr>
          <w:color w:val="auto"/>
        </w:rPr>
      </w:pPr>
      <w:r>
        <w:rPr>
          <w:rFonts w:hint="eastAsia"/>
          <w:color w:val="auto"/>
        </w:rPr>
        <w:t>公共</w:t>
      </w:r>
      <w:r>
        <w:rPr>
          <w:color w:val="auto"/>
        </w:rPr>
        <w:t>机构办公区应根据使用需求和自然采光状况调节，白天</w:t>
      </w:r>
      <w:r>
        <w:rPr>
          <w:rFonts w:hint="eastAsia"/>
          <w:color w:val="auto"/>
        </w:rPr>
        <w:t>室内</w:t>
      </w:r>
      <w:r>
        <w:rPr>
          <w:color w:val="auto"/>
        </w:rPr>
        <w:t>亮度足够时</w:t>
      </w:r>
      <w:r>
        <w:rPr>
          <w:rFonts w:hint="eastAsia"/>
          <w:color w:val="auto"/>
        </w:rPr>
        <w:t>不</w:t>
      </w:r>
      <w:r>
        <w:rPr>
          <w:rFonts w:hint="eastAsia"/>
          <w:color w:val="auto"/>
          <w:highlight w:val="none"/>
          <w:lang w:val="en-US" w:eastAsia="zh-CN"/>
        </w:rPr>
        <w:t>应</w:t>
      </w:r>
      <w:r>
        <w:rPr>
          <w:color w:val="auto"/>
        </w:rPr>
        <w:t>开灯</w:t>
      </w:r>
      <w:r>
        <w:rPr>
          <w:rFonts w:hint="eastAsia"/>
          <w:color w:val="auto"/>
        </w:rPr>
        <w:t>。</w:t>
      </w:r>
    </w:p>
    <w:p>
      <w:pPr>
        <w:pStyle w:val="79"/>
        <w:rPr>
          <w:color w:val="auto"/>
          <w:highlight w:val="none"/>
        </w:rPr>
      </w:pPr>
      <w:r>
        <w:rPr>
          <w:color w:val="auto"/>
        </w:rPr>
        <w:t>楼梯、走廊、卫生间和地下停车场等公共区域应实行</w:t>
      </w:r>
      <w:r>
        <w:rPr>
          <w:rFonts w:hint="eastAsia"/>
          <w:color w:val="auto"/>
        </w:rPr>
        <w:t>定时、感应</w:t>
      </w:r>
      <w:r>
        <w:rPr>
          <w:color w:val="auto"/>
        </w:rPr>
        <w:t>等节能照明模式，多功能会议室等大空间</w:t>
      </w:r>
      <w:r>
        <w:rPr>
          <w:color w:val="auto"/>
          <w:highlight w:val="none"/>
        </w:rPr>
        <w:t>宜采用</w:t>
      </w:r>
      <w:r>
        <w:rPr>
          <w:rFonts w:hint="eastAsia"/>
          <w:color w:val="auto"/>
          <w:highlight w:val="none"/>
        </w:rPr>
        <w:t>智能</w:t>
      </w:r>
      <w:r>
        <w:rPr>
          <w:color w:val="auto"/>
          <w:highlight w:val="none"/>
        </w:rPr>
        <w:t>照明控制措施。</w:t>
      </w:r>
    </w:p>
    <w:p>
      <w:pPr>
        <w:pStyle w:val="79"/>
        <w:rPr>
          <w:color w:val="auto"/>
          <w:highlight w:val="none"/>
        </w:rPr>
      </w:pPr>
      <w:r>
        <w:rPr>
          <w:rFonts w:hint="eastAsia"/>
          <w:color w:val="auto"/>
          <w:highlight w:val="none"/>
        </w:rPr>
        <w:t>定期检查</w:t>
      </w:r>
      <w:r>
        <w:rPr>
          <w:color w:val="auto"/>
          <w:highlight w:val="none"/>
        </w:rPr>
        <w:t>照明器具质量，所</w:t>
      </w:r>
      <w:r>
        <w:rPr>
          <w:rFonts w:hint="eastAsia"/>
          <w:color w:val="auto"/>
          <w:highlight w:val="none"/>
        </w:rPr>
        <w:t>购买</w:t>
      </w:r>
      <w:r>
        <w:rPr>
          <w:color w:val="auto"/>
          <w:highlight w:val="none"/>
        </w:rPr>
        <w:t>的照明器具应符合GB/T 29455</w:t>
      </w:r>
      <w:r>
        <w:rPr>
          <w:rFonts w:hint="eastAsia"/>
          <w:color w:val="auto"/>
          <w:highlight w:val="none"/>
        </w:rPr>
        <w:t>的</w:t>
      </w:r>
      <w:r>
        <w:rPr>
          <w:color w:val="auto"/>
          <w:highlight w:val="none"/>
        </w:rPr>
        <w:t>有关规定。</w:t>
      </w:r>
    </w:p>
    <w:p>
      <w:pPr>
        <w:pStyle w:val="79"/>
        <w:rPr>
          <w:color w:val="auto"/>
          <w:highlight w:val="none"/>
        </w:rPr>
      </w:pPr>
      <w:r>
        <w:rPr>
          <w:rFonts w:hint="eastAsia"/>
          <w:color w:val="auto"/>
          <w:highlight w:val="none"/>
        </w:rPr>
        <w:t>定期</w:t>
      </w:r>
      <w:r>
        <w:rPr>
          <w:color w:val="auto"/>
          <w:highlight w:val="none"/>
        </w:rPr>
        <w:t>巡检公共照明电源柜，如有问题及时处理，保证设备正常运行和安全用电。</w:t>
      </w:r>
    </w:p>
    <w:p>
      <w:pPr>
        <w:pStyle w:val="69"/>
        <w:spacing w:before="156" w:after="156"/>
        <w:rPr>
          <w:color w:val="auto"/>
          <w:highlight w:val="none"/>
        </w:rPr>
      </w:pPr>
      <w:bookmarkStart w:id="116" w:name="_Toc19795"/>
      <w:r>
        <w:rPr>
          <w:rFonts w:hint="eastAsia"/>
          <w:color w:val="auto"/>
          <w:highlight w:val="none"/>
        </w:rPr>
        <w:t>空调用电</w:t>
      </w:r>
      <w:bookmarkEnd w:id="116"/>
    </w:p>
    <w:p>
      <w:pPr>
        <w:pStyle w:val="79"/>
        <w:rPr>
          <w:color w:val="auto"/>
          <w:highlight w:val="none"/>
        </w:rPr>
      </w:pPr>
      <w:r>
        <w:rPr>
          <w:rFonts w:hint="eastAsia"/>
          <w:color w:val="auto"/>
          <w:highlight w:val="none"/>
        </w:rPr>
        <w:t>空调</w:t>
      </w:r>
      <w:r>
        <w:rPr>
          <w:color w:val="auto"/>
          <w:highlight w:val="none"/>
        </w:rPr>
        <w:t>开启时应</w:t>
      </w:r>
      <w:r>
        <w:rPr>
          <w:rFonts w:hint="eastAsia"/>
          <w:color w:val="auto"/>
          <w:highlight w:val="none"/>
        </w:rPr>
        <w:t>关好</w:t>
      </w:r>
      <w:r>
        <w:rPr>
          <w:color w:val="auto"/>
          <w:highlight w:val="none"/>
        </w:rPr>
        <w:t>门窗，无人时不应开空调</w:t>
      </w:r>
      <w:r>
        <w:rPr>
          <w:rFonts w:hint="eastAsia"/>
          <w:color w:val="auto"/>
          <w:highlight w:val="none"/>
        </w:rPr>
        <w:t>。</w:t>
      </w:r>
    </w:p>
    <w:p>
      <w:pPr>
        <w:pStyle w:val="79"/>
        <w:rPr>
          <w:color w:val="auto"/>
        </w:rPr>
      </w:pPr>
      <w:r>
        <w:rPr>
          <w:color w:val="auto"/>
          <w:highlight w:val="none"/>
        </w:rPr>
        <w:t>空调实行集中控制的，</w:t>
      </w:r>
      <w:r>
        <w:rPr>
          <w:rFonts w:hint="eastAsia"/>
          <w:color w:val="auto"/>
          <w:highlight w:val="none"/>
        </w:rPr>
        <w:t>宜采用智能</w:t>
      </w:r>
      <w:r>
        <w:rPr>
          <w:color w:val="auto"/>
          <w:highlight w:val="none"/>
        </w:rPr>
        <w:t>控</w:t>
      </w:r>
      <w:r>
        <w:rPr>
          <w:color w:val="auto"/>
        </w:rPr>
        <w:t>制并设置定时关闭</w:t>
      </w:r>
      <w:r>
        <w:rPr>
          <w:rFonts w:hint="eastAsia"/>
          <w:color w:val="auto"/>
        </w:rPr>
        <w:t>。</w:t>
      </w:r>
    </w:p>
    <w:p>
      <w:pPr>
        <w:pStyle w:val="79"/>
        <w:rPr>
          <w:color w:val="auto"/>
        </w:rPr>
      </w:pPr>
      <w:r>
        <w:rPr>
          <w:color w:val="auto"/>
        </w:rPr>
        <w:t>除特殊温度要求的区域</w:t>
      </w:r>
      <w:r>
        <w:rPr>
          <w:rFonts w:hint="eastAsia"/>
          <w:color w:val="auto"/>
          <w:lang w:eastAsia="zh-CN"/>
        </w:rPr>
        <w:t>、</w:t>
      </w:r>
      <w:r>
        <w:rPr>
          <w:rFonts w:hint="eastAsia"/>
          <w:color w:val="auto"/>
        </w:rPr>
        <w:t>时期</w:t>
      </w:r>
      <w:r>
        <w:rPr>
          <w:color w:val="auto"/>
        </w:rPr>
        <w:t>外，夏季室内空调温度设置不应低于</w:t>
      </w:r>
      <w:r>
        <w:rPr>
          <w:rFonts w:hint="eastAsia"/>
          <w:color w:val="auto"/>
          <w:highlight w:val="none"/>
        </w:rPr>
        <w:t>26℃</w:t>
      </w:r>
      <w:r>
        <w:rPr>
          <w:color w:val="auto"/>
          <w:highlight w:val="none"/>
        </w:rPr>
        <w:t>，</w:t>
      </w:r>
      <w:r>
        <w:rPr>
          <w:color w:val="auto"/>
        </w:rPr>
        <w:t>冬季室内空调温度</w:t>
      </w:r>
      <w:r>
        <w:rPr>
          <w:rFonts w:hint="eastAsia"/>
          <w:color w:val="auto"/>
        </w:rPr>
        <w:t>设置</w:t>
      </w:r>
      <w:r>
        <w:rPr>
          <w:color w:val="auto"/>
        </w:rPr>
        <w:t>不应高于</w:t>
      </w:r>
      <w:r>
        <w:rPr>
          <w:rFonts w:hint="eastAsia"/>
          <w:color w:val="auto"/>
        </w:rPr>
        <w:t>20℃，过渡季充分利用自然条件进行调节，降低空调能耗。</w:t>
      </w:r>
    </w:p>
    <w:p>
      <w:pPr>
        <w:pStyle w:val="79"/>
        <w:rPr>
          <w:color w:val="auto"/>
        </w:rPr>
      </w:pPr>
      <w:r>
        <w:rPr>
          <w:color w:val="auto"/>
        </w:rPr>
        <w:t>应定期清洗</w:t>
      </w:r>
      <w:r>
        <w:rPr>
          <w:rFonts w:hint="eastAsia"/>
          <w:color w:val="auto"/>
        </w:rPr>
        <w:t>、检修</w:t>
      </w:r>
      <w:r>
        <w:rPr>
          <w:color w:val="auto"/>
        </w:rPr>
        <w:t>空调设备，降低空调运行耗能。</w:t>
      </w:r>
    </w:p>
    <w:p>
      <w:pPr>
        <w:pStyle w:val="79"/>
        <w:rPr>
          <w:color w:val="auto"/>
        </w:rPr>
      </w:pPr>
      <w:r>
        <w:rPr>
          <w:rFonts w:hint="eastAsia"/>
          <w:color w:val="auto"/>
        </w:rPr>
        <w:t>鼓励在下班前30分钟</w:t>
      </w:r>
      <w:r>
        <w:rPr>
          <w:color w:val="auto"/>
        </w:rPr>
        <w:t>关闭空调，空调</w:t>
      </w:r>
      <w:r>
        <w:rPr>
          <w:rFonts w:hint="eastAsia"/>
          <w:color w:val="auto"/>
        </w:rPr>
        <w:t>不用</w:t>
      </w:r>
      <w:r>
        <w:rPr>
          <w:color w:val="auto"/>
        </w:rPr>
        <w:t>时</w:t>
      </w:r>
      <w:r>
        <w:rPr>
          <w:rFonts w:hint="eastAsia"/>
          <w:color w:val="auto"/>
        </w:rPr>
        <w:t>应</w:t>
      </w:r>
      <w:r>
        <w:rPr>
          <w:color w:val="auto"/>
        </w:rPr>
        <w:t>关闭电源。</w:t>
      </w:r>
    </w:p>
    <w:p>
      <w:pPr>
        <w:pStyle w:val="79"/>
        <w:rPr>
          <w:color w:val="auto"/>
        </w:rPr>
      </w:pPr>
      <w:r>
        <w:rPr>
          <w:rFonts w:hint="eastAsia"/>
          <w:color w:val="auto"/>
        </w:rPr>
        <w:t>有</w:t>
      </w:r>
      <w:r>
        <w:rPr>
          <w:color w:val="auto"/>
        </w:rPr>
        <w:t>服务大厅的单</w:t>
      </w:r>
      <w:r>
        <w:rPr>
          <w:color w:val="auto"/>
          <w:highlight w:val="none"/>
        </w:rPr>
        <w:t>位，</w:t>
      </w:r>
      <w:r>
        <w:rPr>
          <w:rFonts w:hint="eastAsia"/>
          <w:color w:val="auto"/>
          <w:highlight w:val="none"/>
        </w:rPr>
        <w:t>宜</w:t>
      </w:r>
      <w:r>
        <w:rPr>
          <w:color w:val="auto"/>
          <w:highlight w:val="none"/>
        </w:rPr>
        <w:t>在大厅加</w:t>
      </w:r>
      <w:r>
        <w:rPr>
          <w:color w:val="auto"/>
        </w:rPr>
        <w:t>装</w:t>
      </w:r>
      <w:r>
        <w:rPr>
          <w:rFonts w:hint="eastAsia"/>
          <w:color w:val="auto"/>
        </w:rPr>
        <w:t>空调门帘</w:t>
      </w:r>
      <w:r>
        <w:rPr>
          <w:color w:val="auto"/>
        </w:rPr>
        <w:t>，防止空调</w:t>
      </w:r>
      <w:r>
        <w:rPr>
          <w:rFonts w:hint="eastAsia"/>
          <w:color w:val="auto"/>
        </w:rPr>
        <w:t>冷气</w:t>
      </w:r>
      <w:r>
        <w:rPr>
          <w:color w:val="auto"/>
        </w:rPr>
        <w:t>和暖气</w:t>
      </w:r>
      <w:r>
        <w:rPr>
          <w:rFonts w:hint="eastAsia"/>
          <w:color w:val="auto"/>
        </w:rPr>
        <w:t>的</w:t>
      </w:r>
      <w:r>
        <w:rPr>
          <w:color w:val="auto"/>
        </w:rPr>
        <w:t>流失。</w:t>
      </w:r>
    </w:p>
    <w:p>
      <w:pPr>
        <w:pStyle w:val="69"/>
        <w:spacing w:before="156" w:after="156"/>
        <w:rPr>
          <w:color w:val="auto"/>
        </w:rPr>
      </w:pPr>
      <w:bookmarkStart w:id="117" w:name="_Toc18682"/>
      <w:r>
        <w:rPr>
          <w:rFonts w:hint="eastAsia"/>
          <w:color w:val="auto"/>
        </w:rPr>
        <w:t>动力设备用电</w:t>
      </w:r>
      <w:bookmarkEnd w:id="117"/>
    </w:p>
    <w:p>
      <w:pPr>
        <w:pStyle w:val="79"/>
        <w:rPr>
          <w:color w:val="auto"/>
        </w:rPr>
      </w:pPr>
      <w:r>
        <w:rPr>
          <w:rFonts w:hint="eastAsia"/>
          <w:color w:val="auto"/>
        </w:rPr>
        <w:t>公共</w:t>
      </w:r>
      <w:r>
        <w:rPr>
          <w:color w:val="auto"/>
        </w:rPr>
        <w:t>机构</w:t>
      </w:r>
      <w:r>
        <w:rPr>
          <w:rFonts w:hint="eastAsia"/>
          <w:color w:val="auto"/>
        </w:rPr>
        <w:t>电梯</w:t>
      </w:r>
      <w:r>
        <w:rPr>
          <w:color w:val="auto"/>
        </w:rPr>
        <w:t>应</w:t>
      </w:r>
      <w:r>
        <w:rPr>
          <w:rFonts w:hint="eastAsia"/>
          <w:color w:val="auto"/>
        </w:rPr>
        <w:t>积极推行智能控制、能量回馈等节能新技术新产品，</w:t>
      </w:r>
      <w:r>
        <w:rPr>
          <w:color w:val="auto"/>
        </w:rPr>
        <w:t>合理设置电梯开启的数量、楼层和时间，加强</w:t>
      </w:r>
      <w:r>
        <w:rPr>
          <w:rFonts w:hint="eastAsia"/>
          <w:color w:val="auto"/>
        </w:rPr>
        <w:t>电梯</w:t>
      </w:r>
      <w:r>
        <w:rPr>
          <w:color w:val="auto"/>
        </w:rPr>
        <w:t>运行调节和维护保养。</w:t>
      </w:r>
    </w:p>
    <w:p>
      <w:pPr>
        <w:pStyle w:val="79"/>
        <w:rPr>
          <w:color w:val="auto"/>
        </w:rPr>
      </w:pPr>
      <w:r>
        <w:rPr>
          <w:rFonts w:hint="eastAsia"/>
          <w:color w:val="auto"/>
        </w:rPr>
        <w:t>定期更换、</w:t>
      </w:r>
      <w:r>
        <w:rPr>
          <w:color w:val="auto"/>
        </w:rPr>
        <w:t>改造</w:t>
      </w:r>
      <w:r>
        <w:rPr>
          <w:rFonts w:hint="eastAsia"/>
          <w:color w:val="auto"/>
        </w:rPr>
        <w:t>老化线路</w:t>
      </w:r>
      <w:r>
        <w:rPr>
          <w:color w:val="auto"/>
        </w:rPr>
        <w:t>、电网、变压器等设施设备，提高电力系统运行效率和安全系数。电力变压器运行应满足GB/T 13462的要求。</w:t>
      </w:r>
    </w:p>
    <w:p>
      <w:pPr>
        <w:pStyle w:val="79"/>
        <w:rPr>
          <w:color w:val="auto"/>
        </w:rPr>
      </w:pPr>
      <w:r>
        <w:rPr>
          <w:color w:val="auto"/>
        </w:rPr>
        <w:t>锅炉</w:t>
      </w:r>
      <w:r>
        <w:rPr>
          <w:rFonts w:hint="eastAsia"/>
          <w:color w:val="auto"/>
        </w:rPr>
        <w:t>系统应配备气候补偿装置，采用智能运行调节与控制，锅炉</w:t>
      </w:r>
      <w:r>
        <w:rPr>
          <w:color w:val="auto"/>
        </w:rPr>
        <w:t>运行</w:t>
      </w:r>
      <w:r>
        <w:rPr>
          <w:rFonts w:hint="eastAsia"/>
          <w:color w:val="auto"/>
        </w:rPr>
        <w:t>管理</w:t>
      </w:r>
      <w:r>
        <w:rPr>
          <w:color w:val="auto"/>
        </w:rPr>
        <w:t>应满足GB/T 18292的要求。</w:t>
      </w:r>
    </w:p>
    <w:p>
      <w:pPr>
        <w:pStyle w:val="79"/>
        <w:rPr>
          <w:color w:val="auto"/>
        </w:rPr>
      </w:pPr>
      <w:r>
        <w:rPr>
          <w:rFonts w:hint="eastAsia"/>
          <w:color w:val="auto"/>
        </w:rPr>
        <w:t>公共机构通风空调系统、消防系统等各类设备的智能化监</w:t>
      </w:r>
      <w:r>
        <w:rPr>
          <w:rFonts w:hint="eastAsia"/>
          <w:color w:val="auto"/>
          <w:highlight w:val="none"/>
        </w:rPr>
        <w:t>控系统宜进行系</w:t>
      </w:r>
      <w:r>
        <w:rPr>
          <w:rFonts w:hint="eastAsia"/>
          <w:color w:val="auto"/>
        </w:rPr>
        <w:t>统集成，</w:t>
      </w:r>
      <w:r>
        <w:rPr>
          <w:color w:val="auto"/>
        </w:rPr>
        <w:t>电气与控制系统运行应符合GB</w:t>
      </w:r>
      <w:r>
        <w:rPr>
          <w:rFonts w:hint="eastAsia"/>
          <w:color w:val="auto"/>
        </w:rPr>
        <w:t>/</w:t>
      </w:r>
      <w:r>
        <w:rPr>
          <w:color w:val="auto"/>
        </w:rPr>
        <w:t>T 36710</w:t>
      </w:r>
      <w:r>
        <w:rPr>
          <w:rFonts w:hint="eastAsia"/>
          <w:color w:val="auto"/>
        </w:rPr>
        <w:t>的要求</w:t>
      </w:r>
      <w:r>
        <w:rPr>
          <w:color w:val="auto"/>
        </w:rPr>
        <w:t>。</w:t>
      </w:r>
    </w:p>
    <w:p>
      <w:pPr>
        <w:pStyle w:val="69"/>
        <w:spacing w:before="156" w:after="156"/>
        <w:rPr>
          <w:color w:val="auto"/>
        </w:rPr>
      </w:pPr>
      <w:bookmarkStart w:id="118" w:name="_Toc30317"/>
      <w:r>
        <w:rPr>
          <w:rFonts w:hint="eastAsia"/>
          <w:color w:val="auto"/>
        </w:rPr>
        <w:t>其他设备</w:t>
      </w:r>
      <w:r>
        <w:rPr>
          <w:color w:val="auto"/>
        </w:rPr>
        <w:t>用电</w:t>
      </w:r>
      <w:bookmarkEnd w:id="118"/>
    </w:p>
    <w:p>
      <w:pPr>
        <w:pStyle w:val="79"/>
        <w:rPr>
          <w:color w:val="auto"/>
        </w:rPr>
      </w:pPr>
      <w:r>
        <w:rPr>
          <w:rFonts w:hint="eastAsia"/>
          <w:color w:val="auto"/>
        </w:rPr>
        <w:t>办公场所</w:t>
      </w:r>
      <w:r>
        <w:rPr>
          <w:color w:val="auto"/>
        </w:rPr>
        <w:t>不应使用取暖器、电磁炉等大功率电器设备。</w:t>
      </w:r>
    </w:p>
    <w:p>
      <w:pPr>
        <w:pStyle w:val="79"/>
        <w:rPr>
          <w:color w:val="auto"/>
        </w:rPr>
      </w:pPr>
      <w:r>
        <w:rPr>
          <w:rFonts w:hint="eastAsia"/>
          <w:color w:val="auto"/>
        </w:rPr>
        <w:t>电脑</w:t>
      </w:r>
      <w:r>
        <w:rPr>
          <w:color w:val="auto"/>
        </w:rPr>
        <w:t>主机、显示器、打印机、复印机等</w:t>
      </w:r>
      <w:r>
        <w:rPr>
          <w:rFonts w:hint="eastAsia"/>
          <w:color w:val="auto"/>
        </w:rPr>
        <w:t>办公设备</w:t>
      </w:r>
      <w:r>
        <w:rPr>
          <w:color w:val="auto"/>
        </w:rPr>
        <w:t>使用完毕后应及时关闭</w:t>
      </w:r>
      <w:r>
        <w:rPr>
          <w:rFonts w:hint="eastAsia"/>
          <w:color w:val="auto"/>
        </w:rPr>
        <w:t>，</w:t>
      </w:r>
      <w:r>
        <w:rPr>
          <w:color w:val="auto"/>
        </w:rPr>
        <w:t>减少待机能耗，下班或长时间不</w:t>
      </w:r>
      <w:r>
        <w:rPr>
          <w:rFonts w:hint="eastAsia"/>
          <w:color w:val="auto"/>
        </w:rPr>
        <w:t>使用</w:t>
      </w:r>
      <w:r>
        <w:rPr>
          <w:color w:val="auto"/>
        </w:rPr>
        <w:t>时关闭电源或设置自动节能状态。</w:t>
      </w:r>
    </w:p>
    <w:p>
      <w:pPr>
        <w:pStyle w:val="79"/>
        <w:rPr>
          <w:color w:val="auto"/>
        </w:rPr>
      </w:pPr>
      <w:r>
        <w:rPr>
          <w:rFonts w:hint="eastAsia"/>
          <w:color w:val="auto"/>
        </w:rPr>
        <w:t>开展数据中心节能改造或优化运行，提高电能利用效率，</w:t>
      </w:r>
      <w:r>
        <w:rPr>
          <w:color w:val="auto"/>
        </w:rPr>
        <w:t>定期对</w:t>
      </w:r>
      <w:r>
        <w:rPr>
          <w:rFonts w:hint="eastAsia"/>
          <w:color w:val="auto"/>
        </w:rPr>
        <w:t>数据</w:t>
      </w:r>
      <w:r>
        <w:rPr>
          <w:color w:val="auto"/>
        </w:rPr>
        <w:t>机房内耗能设施设备进行维护，确保各</w:t>
      </w:r>
      <w:r>
        <w:rPr>
          <w:rFonts w:hint="eastAsia"/>
          <w:color w:val="auto"/>
        </w:rPr>
        <w:t>设备</w:t>
      </w:r>
      <w:r>
        <w:rPr>
          <w:color w:val="auto"/>
        </w:rPr>
        <w:t>在最佳状态下运行。数据机房系统应符合GB 50174有关节能运行的规定。</w:t>
      </w:r>
    </w:p>
    <w:p>
      <w:pPr>
        <w:pStyle w:val="79"/>
        <w:rPr>
          <w:color w:val="auto"/>
        </w:rPr>
      </w:pPr>
      <w:r>
        <w:rPr>
          <w:rFonts w:hint="eastAsia"/>
          <w:color w:val="auto"/>
        </w:rPr>
        <w:t>公共机构应建设绿色食堂，使用能效等级为2级及以上的节能灶具、节能油烟机、节能冷库设备等食堂节能环保设施设备。</w:t>
      </w:r>
    </w:p>
    <w:p>
      <w:pPr>
        <w:pStyle w:val="79"/>
        <w:rPr>
          <w:color w:val="auto"/>
        </w:rPr>
      </w:pPr>
      <w:r>
        <w:rPr>
          <w:color w:val="auto"/>
        </w:rPr>
        <w:t>饮水机、开水炉等供热水设备晚上按时关闭电源。</w:t>
      </w:r>
    </w:p>
    <w:p>
      <w:pPr>
        <w:pStyle w:val="79"/>
        <w:rPr>
          <w:color w:val="auto"/>
        </w:rPr>
      </w:pPr>
      <w:r>
        <w:rPr>
          <w:rFonts w:hint="eastAsia"/>
          <w:color w:val="auto"/>
        </w:rPr>
        <w:t>通用</w:t>
      </w:r>
      <w:r>
        <w:rPr>
          <w:color w:val="auto"/>
        </w:rPr>
        <w:t>用能设备应采用</w:t>
      </w:r>
      <w:r>
        <w:rPr>
          <w:rFonts w:hint="eastAsia"/>
          <w:color w:val="auto"/>
        </w:rPr>
        <w:t>新型</w:t>
      </w:r>
      <w:r>
        <w:rPr>
          <w:color w:val="auto"/>
        </w:rPr>
        <w:t>节能型产品或</w:t>
      </w:r>
      <w:r>
        <w:rPr>
          <w:rFonts w:hint="eastAsia"/>
          <w:color w:val="auto"/>
        </w:rPr>
        <w:t>能效等级为2级及以上</w:t>
      </w:r>
      <w:r>
        <w:rPr>
          <w:color w:val="auto"/>
        </w:rPr>
        <w:t>的</w:t>
      </w:r>
      <w:r>
        <w:rPr>
          <w:rFonts w:hint="eastAsia"/>
          <w:color w:val="auto"/>
        </w:rPr>
        <w:t>节能产品</w:t>
      </w:r>
      <w:r>
        <w:rPr>
          <w:color w:val="auto"/>
        </w:rPr>
        <w:t>，已</w:t>
      </w:r>
      <w:r>
        <w:rPr>
          <w:rFonts w:hint="eastAsia"/>
          <w:color w:val="auto"/>
        </w:rPr>
        <w:t>明令禁止</w:t>
      </w:r>
      <w:r>
        <w:rPr>
          <w:color w:val="auto"/>
        </w:rPr>
        <w:t>生产、使用的和能耗高、效率低的设备应限期淘汰更新。</w:t>
      </w:r>
    </w:p>
    <w:p>
      <w:pPr>
        <w:pStyle w:val="65"/>
        <w:spacing w:before="156" w:after="156"/>
        <w:rPr>
          <w:color w:val="auto"/>
        </w:rPr>
      </w:pPr>
      <w:bookmarkStart w:id="119" w:name="_Toc151560273"/>
      <w:bookmarkStart w:id="120" w:name="_Toc8783"/>
      <w:bookmarkStart w:id="121" w:name="_Toc154390271"/>
      <w:bookmarkStart w:id="122" w:name="_Toc159856843"/>
      <w:bookmarkStart w:id="123" w:name="_Toc5840"/>
      <w:bookmarkStart w:id="124" w:name="_Toc148086993"/>
      <w:r>
        <w:rPr>
          <w:rFonts w:hint="eastAsia"/>
          <w:color w:val="auto"/>
        </w:rPr>
        <w:t>用水</w:t>
      </w:r>
      <w:r>
        <w:rPr>
          <w:color w:val="auto"/>
        </w:rPr>
        <w:t>要求</w:t>
      </w:r>
      <w:bookmarkEnd w:id="119"/>
      <w:bookmarkEnd w:id="120"/>
      <w:bookmarkEnd w:id="121"/>
      <w:bookmarkEnd w:id="122"/>
      <w:bookmarkEnd w:id="123"/>
      <w:bookmarkEnd w:id="124"/>
    </w:p>
    <w:p>
      <w:pPr>
        <w:pStyle w:val="68"/>
        <w:rPr>
          <w:color w:val="auto"/>
        </w:rPr>
      </w:pPr>
      <w:r>
        <w:rPr>
          <w:color w:val="auto"/>
        </w:rPr>
        <w:t>用水单位应建立健全用水记录和用水</w:t>
      </w:r>
      <w:r>
        <w:rPr>
          <w:rFonts w:hint="eastAsia"/>
          <w:color w:val="auto"/>
        </w:rPr>
        <w:t>统计</w:t>
      </w:r>
      <w:r>
        <w:rPr>
          <w:color w:val="auto"/>
        </w:rPr>
        <w:t>分析等节约用水制度，落实部门和专人负责节约用水管理。</w:t>
      </w:r>
    </w:p>
    <w:p>
      <w:pPr>
        <w:pStyle w:val="68"/>
        <w:rPr>
          <w:color w:val="auto"/>
        </w:rPr>
      </w:pPr>
      <w:r>
        <w:rPr>
          <w:color w:val="auto"/>
        </w:rPr>
        <w:t>实行定额用水管理。加强用水设施、设备和器具等维护和管理，采取防渗、防漏措施，降低渗透率。</w:t>
      </w:r>
    </w:p>
    <w:p>
      <w:pPr>
        <w:pStyle w:val="68"/>
        <w:rPr>
          <w:rFonts w:hint="eastAsia" w:hAnsi="宋体"/>
          <w:color w:val="auto"/>
        </w:rPr>
      </w:pPr>
      <w:r>
        <w:rPr>
          <w:rFonts w:hint="eastAsia"/>
          <w:color w:val="auto"/>
        </w:rPr>
        <w:t>加强用水设备的日常巡检，杜绝</w:t>
      </w:r>
      <w:r>
        <w:rPr>
          <w:rFonts w:hAnsi="宋体"/>
          <w:color w:val="auto"/>
        </w:rPr>
        <w:t>“</w:t>
      </w:r>
      <w:r>
        <w:rPr>
          <w:rFonts w:hint="eastAsia" w:hAnsi="宋体"/>
          <w:color w:val="auto"/>
        </w:rPr>
        <w:t>跑、冒、滴、漏</w:t>
      </w:r>
      <w:r>
        <w:rPr>
          <w:rFonts w:hAnsi="宋体"/>
          <w:color w:val="auto"/>
        </w:rPr>
        <w:t>”</w:t>
      </w:r>
      <w:r>
        <w:rPr>
          <w:rFonts w:hint="eastAsia" w:hAnsi="宋体"/>
          <w:color w:val="auto"/>
        </w:rPr>
        <w:t>等</w:t>
      </w:r>
      <w:r>
        <w:rPr>
          <w:rFonts w:hAnsi="宋体"/>
          <w:color w:val="auto"/>
        </w:rPr>
        <w:t>现象，</w:t>
      </w:r>
      <w:r>
        <w:rPr>
          <w:rFonts w:hint="eastAsia" w:hAnsi="宋体"/>
          <w:color w:val="auto"/>
        </w:rPr>
        <w:t>3年～</w:t>
      </w:r>
      <w:r>
        <w:rPr>
          <w:rFonts w:hAnsi="宋体"/>
          <w:color w:val="auto"/>
        </w:rPr>
        <w:t>5年开展一次水平衡测试。</w:t>
      </w:r>
    </w:p>
    <w:p>
      <w:pPr>
        <w:pStyle w:val="68"/>
        <w:rPr>
          <w:rFonts w:hint="eastAsia" w:hAnsi="宋体"/>
          <w:color w:val="auto"/>
        </w:rPr>
      </w:pPr>
      <w:r>
        <w:rPr>
          <w:rFonts w:hint="eastAsia" w:hAnsi="宋体"/>
          <w:color w:val="auto"/>
        </w:rPr>
        <w:t>提倡安装智能水表，实施用水分项计量。实现用水分户、分层、分楼栋计量，食堂、宿舍、洗衣房、空调冷却塔等重点区域用水计量。</w:t>
      </w:r>
    </w:p>
    <w:p>
      <w:pPr>
        <w:pStyle w:val="68"/>
        <w:rPr>
          <w:color w:val="auto"/>
        </w:rPr>
      </w:pPr>
      <w:r>
        <w:rPr>
          <w:rFonts w:hint="eastAsia" w:hAnsi="宋体"/>
          <w:color w:val="auto"/>
        </w:rPr>
        <w:t>应开展节约用水宣传教育，提高节水意识，推广使用节水新技术、新工艺和新设备。</w:t>
      </w:r>
    </w:p>
    <w:p>
      <w:pPr>
        <w:pStyle w:val="68"/>
        <w:rPr>
          <w:rFonts w:hint="eastAsia" w:hAnsi="宋体"/>
          <w:color w:val="auto"/>
        </w:rPr>
      </w:pPr>
      <w:r>
        <w:rPr>
          <w:rFonts w:hint="eastAsia" w:hAnsi="宋体"/>
          <w:color w:val="auto"/>
        </w:rPr>
        <w:t>绿化、景观、环卫等用水，首选再生水、雨水，减少公共用水使用量。</w:t>
      </w:r>
    </w:p>
    <w:p>
      <w:pPr>
        <w:pStyle w:val="68"/>
        <w:rPr>
          <w:rFonts w:hint="eastAsia" w:hAnsi="宋体"/>
          <w:color w:val="auto"/>
        </w:rPr>
      </w:pPr>
      <w:r>
        <w:rPr>
          <w:rFonts w:hint="eastAsia" w:hAnsi="宋体"/>
          <w:color w:val="auto"/>
        </w:rPr>
        <w:t>洗车用水应采用低耗水洗车技术和循环用水设施。</w:t>
      </w:r>
    </w:p>
    <w:p>
      <w:pPr>
        <w:pStyle w:val="68"/>
        <w:rPr>
          <w:rFonts w:hint="eastAsia" w:hAnsi="宋体"/>
          <w:color w:val="auto"/>
        </w:rPr>
      </w:pPr>
      <w:r>
        <w:rPr>
          <w:rFonts w:hint="eastAsia" w:hAnsi="宋体"/>
          <w:color w:val="auto"/>
        </w:rPr>
        <w:t>应使用节水型生活用水器具，不应使用国家明令淘汰的用水生产工艺或不符合强制性用水标准的用水产品和设备。</w:t>
      </w:r>
    </w:p>
    <w:p>
      <w:pPr>
        <w:pStyle w:val="65"/>
        <w:spacing w:before="156" w:after="156"/>
        <w:rPr>
          <w:color w:val="auto"/>
        </w:rPr>
      </w:pPr>
      <w:bookmarkStart w:id="125" w:name="_Toc2103"/>
      <w:bookmarkStart w:id="126" w:name="_Toc148086994"/>
      <w:bookmarkStart w:id="127" w:name="_Toc151560274"/>
      <w:bookmarkStart w:id="128" w:name="_Toc159856844"/>
      <w:bookmarkStart w:id="129" w:name="_Toc423"/>
      <w:bookmarkStart w:id="130" w:name="_Toc154390272"/>
      <w:r>
        <w:rPr>
          <w:rFonts w:hint="eastAsia"/>
          <w:color w:val="auto"/>
        </w:rPr>
        <w:t>用</w:t>
      </w:r>
      <w:r>
        <w:rPr>
          <w:color w:val="auto"/>
        </w:rPr>
        <w:t>气要求</w:t>
      </w:r>
      <w:bookmarkEnd w:id="125"/>
      <w:bookmarkEnd w:id="126"/>
      <w:bookmarkEnd w:id="127"/>
      <w:bookmarkEnd w:id="128"/>
      <w:bookmarkEnd w:id="129"/>
      <w:bookmarkEnd w:id="130"/>
    </w:p>
    <w:p>
      <w:pPr>
        <w:pStyle w:val="68"/>
        <w:rPr>
          <w:color w:val="auto"/>
        </w:rPr>
      </w:pPr>
      <w:r>
        <w:rPr>
          <w:rFonts w:hint="eastAsia"/>
          <w:color w:val="auto"/>
        </w:rPr>
        <w:t>食堂</w:t>
      </w:r>
      <w:r>
        <w:rPr>
          <w:color w:val="auto"/>
        </w:rPr>
        <w:t>用气应符合相关操作规范，厨房设备设施应采用节能型</w:t>
      </w:r>
      <w:r>
        <w:rPr>
          <w:rFonts w:hint="eastAsia"/>
          <w:color w:val="auto"/>
        </w:rPr>
        <w:t>炉具</w:t>
      </w:r>
      <w:r>
        <w:rPr>
          <w:color w:val="auto"/>
        </w:rPr>
        <w:t>、灶具。</w:t>
      </w:r>
    </w:p>
    <w:p>
      <w:pPr>
        <w:pStyle w:val="68"/>
        <w:rPr>
          <w:color w:val="auto"/>
        </w:rPr>
      </w:pPr>
      <w:r>
        <w:rPr>
          <w:rFonts w:hint="eastAsia"/>
          <w:color w:val="auto"/>
        </w:rPr>
        <w:t>公共</w:t>
      </w:r>
      <w:r>
        <w:rPr>
          <w:color w:val="auto"/>
        </w:rPr>
        <w:t>机构应定期对用气设备检查和维修，及时发现并解决</w:t>
      </w:r>
      <w:r>
        <w:rPr>
          <w:rFonts w:hint="eastAsia"/>
          <w:color w:val="auto"/>
        </w:rPr>
        <w:t>潜在</w:t>
      </w:r>
      <w:r>
        <w:rPr>
          <w:color w:val="auto"/>
        </w:rPr>
        <w:t>的气体泄漏问题</w:t>
      </w:r>
      <w:r>
        <w:rPr>
          <w:rFonts w:hint="eastAsia"/>
          <w:color w:val="auto"/>
        </w:rPr>
        <w:t>。</w:t>
      </w:r>
    </w:p>
    <w:p>
      <w:pPr>
        <w:pStyle w:val="65"/>
        <w:spacing w:before="156" w:after="156"/>
        <w:rPr>
          <w:color w:val="auto"/>
        </w:rPr>
      </w:pPr>
      <w:bookmarkStart w:id="131" w:name="_Toc148086995"/>
      <w:bookmarkStart w:id="132" w:name="_Toc151560275"/>
      <w:bookmarkStart w:id="133" w:name="_Toc31644"/>
      <w:bookmarkStart w:id="134" w:name="_Toc7677"/>
      <w:bookmarkStart w:id="135" w:name="_Toc159856845"/>
      <w:bookmarkStart w:id="136" w:name="_Toc154390273"/>
      <w:r>
        <w:rPr>
          <w:rFonts w:hint="eastAsia"/>
          <w:color w:val="auto"/>
        </w:rPr>
        <w:t>用材</w:t>
      </w:r>
      <w:r>
        <w:rPr>
          <w:color w:val="auto"/>
        </w:rPr>
        <w:t>要求</w:t>
      </w:r>
      <w:bookmarkEnd w:id="131"/>
      <w:bookmarkEnd w:id="132"/>
      <w:bookmarkEnd w:id="133"/>
      <w:bookmarkEnd w:id="134"/>
      <w:bookmarkEnd w:id="135"/>
      <w:bookmarkEnd w:id="136"/>
    </w:p>
    <w:p>
      <w:pPr>
        <w:pStyle w:val="69"/>
        <w:spacing w:before="156" w:after="156"/>
        <w:rPr>
          <w:color w:val="auto"/>
        </w:rPr>
      </w:pPr>
      <w:bookmarkStart w:id="137" w:name="_Toc17138"/>
      <w:r>
        <w:rPr>
          <w:rFonts w:hint="eastAsia"/>
          <w:color w:val="auto"/>
        </w:rPr>
        <w:t>办公用纸</w:t>
      </w:r>
      <w:bookmarkEnd w:id="137"/>
    </w:p>
    <w:p>
      <w:pPr>
        <w:pStyle w:val="67"/>
        <w:ind w:firstLine="420"/>
        <w:rPr>
          <w:color w:val="auto"/>
        </w:rPr>
      </w:pPr>
      <w:r>
        <w:rPr>
          <w:rFonts w:hint="eastAsia"/>
          <w:color w:val="auto"/>
        </w:rPr>
        <w:t>办公用纸</w:t>
      </w:r>
      <w:r>
        <w:rPr>
          <w:color w:val="auto"/>
        </w:rPr>
        <w:t>合理使用，</w:t>
      </w:r>
      <w:r>
        <w:rPr>
          <w:rFonts w:hint="eastAsia"/>
          <w:color w:val="auto"/>
          <w:highlight w:val="none"/>
          <w:lang w:val="en-US" w:eastAsia="zh-CN"/>
        </w:rPr>
        <w:t>应</w:t>
      </w:r>
      <w:r>
        <w:rPr>
          <w:color w:val="auto"/>
        </w:rPr>
        <w:t>采用</w:t>
      </w:r>
      <w:r>
        <w:rPr>
          <w:rFonts w:hint="eastAsia"/>
          <w:color w:val="auto"/>
        </w:rPr>
        <w:t>的</w:t>
      </w:r>
      <w:r>
        <w:rPr>
          <w:color w:val="auto"/>
        </w:rPr>
        <w:t>措施</w:t>
      </w:r>
      <w:r>
        <w:rPr>
          <w:rFonts w:hint="eastAsia"/>
          <w:color w:val="auto"/>
        </w:rPr>
        <w:t>包括但不限于：</w:t>
      </w:r>
    </w:p>
    <w:p>
      <w:pPr>
        <w:pStyle w:val="77"/>
        <w:numPr>
          <w:ilvl w:val="0"/>
          <w:numId w:val="15"/>
        </w:numPr>
        <w:rPr>
          <w:color w:val="auto"/>
        </w:rPr>
      </w:pPr>
      <w:r>
        <w:rPr>
          <w:color w:val="auto"/>
        </w:rPr>
        <w:t>推广电子</w:t>
      </w:r>
      <w:r>
        <w:rPr>
          <w:rFonts w:hint="eastAsia"/>
          <w:color w:val="auto"/>
        </w:rPr>
        <w:t>文件和</w:t>
      </w:r>
      <w:r>
        <w:rPr>
          <w:color w:val="auto"/>
        </w:rPr>
        <w:t>电子签名的使用，尽量使用网络传递文件资料</w:t>
      </w:r>
      <w:r>
        <w:rPr>
          <w:rFonts w:hint="eastAsia"/>
          <w:color w:val="auto"/>
        </w:rPr>
        <w:t>，</w:t>
      </w:r>
      <w:r>
        <w:rPr>
          <w:color w:val="auto"/>
        </w:rPr>
        <w:t>逐步实现无纸化办公；</w:t>
      </w:r>
    </w:p>
    <w:p>
      <w:pPr>
        <w:pStyle w:val="77"/>
        <w:rPr>
          <w:color w:val="auto"/>
        </w:rPr>
      </w:pPr>
      <w:r>
        <w:rPr>
          <w:color w:val="auto"/>
        </w:rPr>
        <w:t>校对无误后</w:t>
      </w:r>
      <w:r>
        <w:rPr>
          <w:rFonts w:hint="eastAsia"/>
          <w:color w:val="auto"/>
        </w:rPr>
        <w:t>再</w:t>
      </w:r>
      <w:r>
        <w:rPr>
          <w:color w:val="auto"/>
        </w:rPr>
        <w:t>打印文件，减少重复打印、多次打印，使用双面打印；</w:t>
      </w:r>
    </w:p>
    <w:p>
      <w:pPr>
        <w:pStyle w:val="77"/>
        <w:rPr>
          <w:color w:val="auto"/>
        </w:rPr>
      </w:pPr>
      <w:r>
        <w:rPr>
          <w:rFonts w:hint="eastAsia"/>
          <w:color w:val="auto"/>
        </w:rPr>
        <w:t>对</w:t>
      </w:r>
      <w:r>
        <w:rPr>
          <w:color w:val="auto"/>
        </w:rPr>
        <w:t>单面使用的复印纸、打印纸回收再利用；</w:t>
      </w:r>
    </w:p>
    <w:p>
      <w:pPr>
        <w:pStyle w:val="77"/>
        <w:rPr>
          <w:color w:val="auto"/>
        </w:rPr>
      </w:pPr>
      <w:r>
        <w:rPr>
          <w:color w:val="auto"/>
        </w:rPr>
        <w:t>加强</w:t>
      </w:r>
      <w:r>
        <w:rPr>
          <w:rFonts w:hint="eastAsia"/>
          <w:color w:val="auto"/>
        </w:rPr>
        <w:t>信封</w:t>
      </w:r>
      <w:r>
        <w:rPr>
          <w:color w:val="auto"/>
        </w:rPr>
        <w:t>的回收再利用</w:t>
      </w:r>
      <w:r>
        <w:rPr>
          <w:rFonts w:hint="eastAsia"/>
          <w:color w:val="auto"/>
        </w:rPr>
        <w:t>。</w:t>
      </w:r>
    </w:p>
    <w:p>
      <w:pPr>
        <w:pStyle w:val="69"/>
        <w:spacing w:before="156" w:after="156"/>
        <w:rPr>
          <w:color w:val="auto"/>
        </w:rPr>
      </w:pPr>
      <w:bookmarkStart w:id="138" w:name="_Toc5562"/>
      <w:r>
        <w:rPr>
          <w:rFonts w:hint="eastAsia"/>
          <w:color w:val="auto"/>
        </w:rPr>
        <w:t>其他</w:t>
      </w:r>
      <w:bookmarkEnd w:id="138"/>
    </w:p>
    <w:p>
      <w:pPr>
        <w:pStyle w:val="67"/>
        <w:ind w:firstLine="420"/>
        <w:rPr>
          <w:color w:val="auto"/>
          <w:highlight w:val="none"/>
        </w:rPr>
      </w:pPr>
      <w:r>
        <w:rPr>
          <w:rFonts w:hint="eastAsia"/>
          <w:color w:val="auto"/>
        </w:rPr>
        <w:t>其他</w:t>
      </w:r>
      <w:r>
        <w:rPr>
          <w:color w:val="auto"/>
        </w:rPr>
        <w:t>办公</w:t>
      </w:r>
      <w:r>
        <w:rPr>
          <w:rFonts w:hint="eastAsia"/>
          <w:color w:val="auto"/>
        </w:rPr>
        <w:t>用品节</w:t>
      </w:r>
      <w:r>
        <w:rPr>
          <w:rFonts w:hint="eastAsia"/>
          <w:color w:val="auto"/>
          <w:highlight w:val="none"/>
        </w:rPr>
        <w:t>能</w:t>
      </w:r>
      <w:r>
        <w:rPr>
          <w:color w:val="auto"/>
          <w:highlight w:val="none"/>
        </w:rPr>
        <w:t>宜采用</w:t>
      </w:r>
      <w:r>
        <w:rPr>
          <w:rFonts w:hint="eastAsia"/>
          <w:color w:val="auto"/>
          <w:highlight w:val="none"/>
        </w:rPr>
        <w:t>的</w:t>
      </w:r>
      <w:r>
        <w:rPr>
          <w:color w:val="auto"/>
          <w:highlight w:val="none"/>
        </w:rPr>
        <w:t>措施包括但不限于：</w:t>
      </w:r>
    </w:p>
    <w:p>
      <w:pPr>
        <w:pStyle w:val="77"/>
        <w:numPr>
          <w:ilvl w:val="0"/>
          <w:numId w:val="16"/>
        </w:numPr>
        <w:rPr>
          <w:color w:val="auto"/>
          <w:highlight w:val="none"/>
        </w:rPr>
      </w:pPr>
      <w:r>
        <w:rPr>
          <w:rFonts w:hint="eastAsia"/>
          <w:color w:val="auto"/>
          <w:highlight w:val="none"/>
        </w:rPr>
        <w:t>打印机</w:t>
      </w:r>
      <w:r>
        <w:rPr>
          <w:color w:val="auto"/>
          <w:highlight w:val="none"/>
        </w:rPr>
        <w:t>、复印机的硒鼓充</w:t>
      </w:r>
      <w:r>
        <w:rPr>
          <w:rFonts w:hint="eastAsia"/>
          <w:color w:val="auto"/>
          <w:highlight w:val="none"/>
        </w:rPr>
        <w:t>粉</w:t>
      </w:r>
      <w:r>
        <w:rPr>
          <w:color w:val="auto"/>
          <w:highlight w:val="none"/>
        </w:rPr>
        <w:t>循环使用；</w:t>
      </w:r>
    </w:p>
    <w:p>
      <w:pPr>
        <w:pStyle w:val="77"/>
        <w:rPr>
          <w:color w:val="auto"/>
          <w:highlight w:val="none"/>
        </w:rPr>
      </w:pPr>
      <w:r>
        <w:rPr>
          <w:rFonts w:hint="eastAsia"/>
          <w:color w:val="auto"/>
          <w:highlight w:val="none"/>
        </w:rPr>
        <w:t>减少</w:t>
      </w:r>
      <w:r>
        <w:rPr>
          <w:color w:val="auto"/>
          <w:highlight w:val="none"/>
        </w:rPr>
        <w:t>一次性</w:t>
      </w:r>
      <w:r>
        <w:rPr>
          <w:rFonts w:hint="eastAsia"/>
          <w:color w:val="auto"/>
          <w:highlight w:val="none"/>
        </w:rPr>
        <w:t>能耗品的</w:t>
      </w:r>
      <w:r>
        <w:rPr>
          <w:color w:val="auto"/>
          <w:highlight w:val="none"/>
        </w:rPr>
        <w:t>使用量</w:t>
      </w:r>
      <w:r>
        <w:rPr>
          <w:rFonts w:hint="eastAsia"/>
          <w:color w:val="auto"/>
          <w:highlight w:val="none"/>
        </w:rPr>
        <w:t>；</w:t>
      </w:r>
    </w:p>
    <w:p>
      <w:pPr>
        <w:pStyle w:val="77"/>
        <w:rPr>
          <w:color w:val="auto"/>
          <w:highlight w:val="none"/>
        </w:rPr>
      </w:pPr>
      <w:r>
        <w:rPr>
          <w:color w:val="auto"/>
          <w:highlight w:val="none"/>
        </w:rPr>
        <w:t>减少木浆纸的使用，宜推广使用可再生纸；</w:t>
      </w:r>
    </w:p>
    <w:p>
      <w:pPr>
        <w:pStyle w:val="77"/>
        <w:rPr>
          <w:color w:val="auto"/>
          <w:highlight w:val="none"/>
        </w:rPr>
      </w:pPr>
      <w:r>
        <w:rPr>
          <w:rFonts w:hint="eastAsia"/>
          <w:color w:val="auto"/>
          <w:highlight w:val="none"/>
        </w:rPr>
        <w:t>采用符合保密安全规定的线上形式进行必要的工作沟通交流；</w:t>
      </w:r>
    </w:p>
    <w:p>
      <w:pPr>
        <w:pStyle w:val="77"/>
        <w:rPr>
          <w:color w:val="auto"/>
          <w:highlight w:val="none"/>
        </w:rPr>
      </w:pPr>
      <w:r>
        <w:rPr>
          <w:rFonts w:hint="eastAsia"/>
          <w:color w:val="auto"/>
          <w:highlight w:val="none"/>
        </w:rPr>
        <w:t>加强对有利用价值的废旧电子设备、办公家具、耗材等</w:t>
      </w:r>
      <w:r>
        <w:rPr>
          <w:color w:val="auto"/>
          <w:highlight w:val="none"/>
        </w:rPr>
        <w:t>的回收</w:t>
      </w:r>
      <w:r>
        <w:rPr>
          <w:rFonts w:hint="eastAsia"/>
          <w:color w:val="auto"/>
          <w:highlight w:val="none"/>
        </w:rPr>
        <w:t>再利用</w:t>
      </w:r>
      <w:r>
        <w:rPr>
          <w:color w:val="auto"/>
          <w:highlight w:val="none"/>
        </w:rPr>
        <w:t>。</w:t>
      </w:r>
    </w:p>
    <w:p>
      <w:pPr>
        <w:pStyle w:val="65"/>
        <w:spacing w:before="156" w:after="156"/>
        <w:rPr>
          <w:color w:val="auto"/>
          <w:highlight w:val="none"/>
        </w:rPr>
      </w:pPr>
      <w:bookmarkStart w:id="139" w:name="_Toc21159"/>
      <w:bookmarkStart w:id="140" w:name="_Toc148086996"/>
      <w:bookmarkStart w:id="141" w:name="_Toc154390274"/>
      <w:bookmarkStart w:id="142" w:name="_Toc2484"/>
      <w:bookmarkStart w:id="143" w:name="_Toc151560276"/>
      <w:bookmarkStart w:id="144" w:name="_Toc159856846"/>
      <w:r>
        <w:rPr>
          <w:rFonts w:hint="eastAsia"/>
          <w:color w:val="auto"/>
          <w:highlight w:val="none"/>
        </w:rPr>
        <w:t>用车</w:t>
      </w:r>
      <w:r>
        <w:rPr>
          <w:color w:val="auto"/>
          <w:highlight w:val="none"/>
        </w:rPr>
        <w:t>要求</w:t>
      </w:r>
      <w:bookmarkEnd w:id="139"/>
      <w:bookmarkEnd w:id="140"/>
      <w:bookmarkEnd w:id="141"/>
      <w:bookmarkEnd w:id="142"/>
      <w:bookmarkEnd w:id="143"/>
      <w:bookmarkEnd w:id="144"/>
    </w:p>
    <w:p>
      <w:pPr>
        <w:pStyle w:val="68"/>
        <w:rPr>
          <w:color w:val="auto"/>
        </w:rPr>
      </w:pPr>
      <w:r>
        <w:rPr>
          <w:rFonts w:hint="eastAsia"/>
          <w:color w:val="auto"/>
          <w:highlight w:val="none"/>
        </w:rPr>
        <w:t>公务</w:t>
      </w:r>
      <w:r>
        <w:rPr>
          <w:color w:val="auto"/>
          <w:highlight w:val="none"/>
        </w:rPr>
        <w:t>用车宜</w:t>
      </w:r>
      <w:r>
        <w:rPr>
          <w:rFonts w:hint="eastAsia"/>
          <w:color w:val="auto"/>
          <w:highlight w:val="none"/>
        </w:rPr>
        <w:t>选用</w:t>
      </w:r>
      <w:r>
        <w:rPr>
          <w:color w:val="auto"/>
          <w:highlight w:val="none"/>
        </w:rPr>
        <w:t>低能耗</w:t>
      </w:r>
      <w:r>
        <w:rPr>
          <w:rFonts w:hint="eastAsia"/>
          <w:color w:val="auto"/>
          <w:highlight w:val="none"/>
        </w:rPr>
        <w:t>、低污</w:t>
      </w:r>
      <w:r>
        <w:rPr>
          <w:rFonts w:hint="eastAsia"/>
          <w:color w:val="auto"/>
        </w:rPr>
        <w:t>染</w:t>
      </w:r>
      <w:r>
        <w:rPr>
          <w:color w:val="auto"/>
        </w:rPr>
        <w:t>、使用</w:t>
      </w:r>
      <w:r>
        <w:rPr>
          <w:rFonts w:hint="eastAsia"/>
          <w:color w:val="auto"/>
        </w:rPr>
        <w:t>清洁</w:t>
      </w:r>
      <w:r>
        <w:rPr>
          <w:color w:val="auto"/>
        </w:rPr>
        <w:t>能源的车辆。</w:t>
      </w:r>
    </w:p>
    <w:p>
      <w:pPr>
        <w:pStyle w:val="68"/>
        <w:rPr>
          <w:color w:val="auto"/>
        </w:rPr>
      </w:pPr>
      <w:r>
        <w:rPr>
          <w:rFonts w:hint="eastAsia"/>
          <w:color w:val="auto"/>
        </w:rPr>
        <w:t>车辆的使用</w:t>
      </w:r>
      <w:r>
        <w:rPr>
          <w:color w:val="auto"/>
        </w:rPr>
        <w:t>、维修</w:t>
      </w:r>
      <w:r>
        <w:rPr>
          <w:rFonts w:hint="eastAsia"/>
          <w:color w:val="auto"/>
        </w:rPr>
        <w:t>、租赁、</w:t>
      </w:r>
      <w:r>
        <w:rPr>
          <w:color w:val="auto"/>
        </w:rPr>
        <w:t>管理应由本单位相关部门统一负责，实行派车制度，统筹安排车辆，提高车辆使用效率。</w:t>
      </w:r>
    </w:p>
    <w:p>
      <w:pPr>
        <w:pStyle w:val="68"/>
        <w:rPr>
          <w:color w:val="auto"/>
        </w:rPr>
      </w:pPr>
      <w:r>
        <w:rPr>
          <w:rFonts w:hint="eastAsia"/>
          <w:color w:val="auto"/>
        </w:rPr>
        <w:t>公共</w:t>
      </w:r>
      <w:r>
        <w:rPr>
          <w:color w:val="auto"/>
        </w:rPr>
        <w:t>机构应建立车辆</w:t>
      </w:r>
      <w:r>
        <w:rPr>
          <w:rFonts w:hint="eastAsia"/>
          <w:color w:val="auto"/>
        </w:rPr>
        <w:t>能耗</w:t>
      </w:r>
      <w:r>
        <w:rPr>
          <w:color w:val="auto"/>
        </w:rPr>
        <w:t>台账，</w:t>
      </w:r>
      <w:r>
        <w:rPr>
          <w:rFonts w:hint="eastAsia"/>
          <w:color w:val="auto"/>
        </w:rPr>
        <w:t>健全</w:t>
      </w:r>
      <w:r>
        <w:rPr>
          <w:color w:val="auto"/>
        </w:rPr>
        <w:t>公务用车能耗、运行费用单车核算和年度绩效评价制度。</w:t>
      </w:r>
    </w:p>
    <w:p>
      <w:pPr>
        <w:pStyle w:val="68"/>
        <w:rPr>
          <w:color w:val="auto"/>
        </w:rPr>
      </w:pPr>
      <w:r>
        <w:rPr>
          <w:rFonts w:hint="eastAsia"/>
          <w:color w:val="auto"/>
        </w:rPr>
        <w:t>驾驶员</w:t>
      </w:r>
      <w:r>
        <w:rPr>
          <w:rFonts w:hint="eastAsia"/>
          <w:color w:val="auto"/>
          <w:highlight w:val="none"/>
          <w:lang w:val="en-US" w:eastAsia="zh-CN"/>
        </w:rPr>
        <w:t>应</w:t>
      </w:r>
      <w:r>
        <w:rPr>
          <w:color w:val="auto"/>
        </w:rPr>
        <w:t>采用节能驾驶操作模式。</w:t>
      </w:r>
    </w:p>
    <w:p>
      <w:pPr>
        <w:pStyle w:val="65"/>
        <w:spacing w:before="156" w:after="156"/>
        <w:rPr>
          <w:color w:val="auto"/>
        </w:rPr>
      </w:pPr>
      <w:bookmarkStart w:id="145" w:name="_Toc154390275"/>
      <w:bookmarkStart w:id="146" w:name="_Toc159856847"/>
      <w:bookmarkStart w:id="147" w:name="_Toc29888"/>
      <w:bookmarkStart w:id="148" w:name="_Toc30439"/>
      <w:r>
        <w:rPr>
          <w:rFonts w:hint="eastAsia"/>
          <w:color w:val="auto"/>
        </w:rPr>
        <w:t>新能源应用</w:t>
      </w:r>
      <w:bookmarkEnd w:id="145"/>
      <w:bookmarkEnd w:id="146"/>
      <w:r>
        <w:rPr>
          <w:rFonts w:hint="eastAsia"/>
          <w:color w:val="auto"/>
        </w:rPr>
        <w:t>要求</w:t>
      </w:r>
      <w:bookmarkEnd w:id="147"/>
      <w:bookmarkEnd w:id="148"/>
    </w:p>
    <w:p>
      <w:pPr>
        <w:pStyle w:val="68"/>
        <w:rPr>
          <w:color w:val="auto"/>
        </w:rPr>
      </w:pPr>
      <w:r>
        <w:rPr>
          <w:color w:val="auto"/>
        </w:rPr>
        <w:t>应优化用能系统运行策略，优先使用可再生能源系统。</w:t>
      </w:r>
    </w:p>
    <w:p>
      <w:pPr>
        <w:pStyle w:val="68"/>
        <w:rPr>
          <w:color w:val="auto"/>
        </w:rPr>
      </w:pPr>
      <w:r>
        <w:rPr>
          <w:color w:val="auto"/>
        </w:rPr>
        <w:t>新能源系统应单独计量并开展能效测评。</w:t>
      </w:r>
    </w:p>
    <w:p>
      <w:pPr>
        <w:pStyle w:val="68"/>
        <w:rPr>
          <w:color w:val="auto"/>
        </w:rPr>
      </w:pPr>
      <w:r>
        <w:rPr>
          <w:color w:val="auto"/>
        </w:rPr>
        <w:t>在条件允许时，应合理增设太阳能</w:t>
      </w:r>
      <w:r>
        <w:rPr>
          <w:rFonts w:hint="eastAsia"/>
          <w:color w:val="auto"/>
        </w:rPr>
        <w:t>集热</w:t>
      </w:r>
      <w:r>
        <w:rPr>
          <w:color w:val="auto"/>
        </w:rPr>
        <w:t>系统、太阳能光伏系统、地源热泵系统和空气源热泵机组等为公共机构提供生活热水、空调冷热量和电量。</w:t>
      </w:r>
    </w:p>
    <w:p>
      <w:pPr>
        <w:pStyle w:val="68"/>
        <w:rPr>
          <w:color w:val="auto"/>
        </w:rPr>
      </w:pPr>
      <w:r>
        <w:rPr>
          <w:color w:val="auto"/>
        </w:rPr>
        <w:t>应根据当地的落尘量等定期清洁太阳能集热系统</w:t>
      </w:r>
      <w:r>
        <w:rPr>
          <w:rFonts w:hint="eastAsia"/>
          <w:color w:val="auto"/>
        </w:rPr>
        <w:t>和</w:t>
      </w:r>
      <w:r>
        <w:rPr>
          <w:color w:val="auto"/>
        </w:rPr>
        <w:t>光伏组件表面落尘。</w:t>
      </w:r>
    </w:p>
    <w:p>
      <w:pPr>
        <w:pStyle w:val="68"/>
        <w:rPr>
          <w:color w:val="auto"/>
        </w:rPr>
      </w:pPr>
      <w:r>
        <w:rPr>
          <w:color w:val="auto"/>
        </w:rPr>
        <w:t>太阳能集热系统和地源热泵系统运行应符合JGJ/T 391的有关规定。</w:t>
      </w:r>
    </w:p>
    <w:p>
      <w:pPr>
        <w:pStyle w:val="65"/>
        <w:spacing w:before="156" w:after="156"/>
        <w:rPr>
          <w:color w:val="auto"/>
        </w:rPr>
      </w:pPr>
      <w:bookmarkStart w:id="149" w:name="_Toc5852"/>
      <w:bookmarkStart w:id="150" w:name="_Toc31458"/>
      <w:r>
        <w:rPr>
          <w:rFonts w:hint="eastAsia"/>
          <w:color w:val="auto"/>
          <w:lang w:val="en-US" w:eastAsia="zh-CN"/>
        </w:rPr>
        <w:t>生活</w:t>
      </w:r>
      <w:r>
        <w:rPr>
          <w:rFonts w:hint="eastAsia"/>
          <w:color w:val="auto"/>
        </w:rPr>
        <w:t>垃圾分类要求</w:t>
      </w:r>
      <w:bookmarkEnd w:id="149"/>
      <w:bookmarkEnd w:id="150"/>
    </w:p>
    <w:p>
      <w:pPr>
        <w:pStyle w:val="67"/>
        <w:ind w:firstLine="420"/>
        <w:rPr>
          <w:color w:val="auto"/>
        </w:rPr>
      </w:pPr>
      <w:r>
        <w:rPr>
          <w:rFonts w:hint="eastAsia"/>
          <w:color w:val="auto"/>
        </w:rPr>
        <w:t>公共机构应按照DB3205/T 1051的规定实行</w:t>
      </w:r>
      <w:r>
        <w:rPr>
          <w:rFonts w:hint="eastAsia"/>
          <w:color w:val="auto"/>
          <w:lang w:val="en-US" w:eastAsia="zh-CN"/>
        </w:rPr>
        <w:t>生活</w:t>
      </w:r>
      <w:r>
        <w:rPr>
          <w:rFonts w:hint="eastAsia"/>
          <w:color w:val="auto"/>
        </w:rPr>
        <w:t>垃圾分类及资源循环利用。</w:t>
      </w:r>
    </w:p>
    <w:p>
      <w:pPr>
        <w:pStyle w:val="66"/>
        <w:spacing w:before="312" w:after="312"/>
        <w:rPr>
          <w:color w:val="auto"/>
        </w:rPr>
      </w:pPr>
      <w:bookmarkStart w:id="151" w:name="_Toc159856848"/>
      <w:bookmarkStart w:id="152" w:name="_Toc151560277"/>
      <w:bookmarkStart w:id="153" w:name="_Toc148086997"/>
      <w:bookmarkStart w:id="154" w:name="_Toc22158"/>
      <w:bookmarkStart w:id="155" w:name="_Toc32288"/>
      <w:bookmarkStart w:id="156" w:name="_Toc154390276"/>
      <w:r>
        <w:rPr>
          <w:rFonts w:hint="eastAsia"/>
          <w:color w:val="auto"/>
        </w:rPr>
        <w:t>节能</w:t>
      </w:r>
      <w:r>
        <w:rPr>
          <w:color w:val="auto"/>
        </w:rPr>
        <w:t>监督</w:t>
      </w:r>
      <w:bookmarkEnd w:id="151"/>
      <w:bookmarkEnd w:id="152"/>
      <w:bookmarkEnd w:id="153"/>
      <w:bookmarkEnd w:id="154"/>
      <w:bookmarkEnd w:id="155"/>
      <w:bookmarkEnd w:id="156"/>
    </w:p>
    <w:p>
      <w:pPr>
        <w:pStyle w:val="65"/>
        <w:spacing w:before="156" w:after="156"/>
        <w:rPr>
          <w:color w:val="auto"/>
        </w:rPr>
      </w:pPr>
      <w:bookmarkStart w:id="157" w:name="_Toc10170"/>
      <w:bookmarkStart w:id="158" w:name="_Toc159856849"/>
      <w:bookmarkStart w:id="159" w:name="_Toc151560278"/>
      <w:bookmarkStart w:id="160" w:name="_Toc12586"/>
      <w:bookmarkStart w:id="161" w:name="_Toc148086998"/>
      <w:bookmarkStart w:id="162" w:name="_Toc154390277"/>
      <w:r>
        <w:rPr>
          <w:rFonts w:hint="eastAsia"/>
          <w:color w:val="auto"/>
        </w:rPr>
        <w:t>监督</w:t>
      </w:r>
      <w:r>
        <w:rPr>
          <w:color w:val="auto"/>
        </w:rPr>
        <w:t>方式</w:t>
      </w:r>
      <w:bookmarkEnd w:id="157"/>
      <w:bookmarkEnd w:id="158"/>
      <w:bookmarkEnd w:id="159"/>
      <w:bookmarkEnd w:id="160"/>
      <w:bookmarkEnd w:id="161"/>
      <w:bookmarkEnd w:id="162"/>
    </w:p>
    <w:p>
      <w:pPr>
        <w:pStyle w:val="67"/>
        <w:ind w:firstLine="420"/>
        <w:rPr>
          <w:color w:val="auto"/>
        </w:rPr>
      </w:pPr>
      <w:r>
        <w:rPr>
          <w:rFonts w:hint="eastAsia"/>
          <w:color w:val="auto"/>
        </w:rPr>
        <w:t>公共机构</w:t>
      </w:r>
      <w:r>
        <w:rPr>
          <w:color w:val="auto"/>
        </w:rPr>
        <w:t>的节能监督应采用自我检查、节能</w:t>
      </w:r>
      <w:r>
        <w:rPr>
          <w:rFonts w:hint="eastAsia"/>
          <w:color w:val="auto"/>
        </w:rPr>
        <w:t>行业主管</w:t>
      </w:r>
      <w:r>
        <w:rPr>
          <w:color w:val="auto"/>
        </w:rPr>
        <w:t>部门监督检查和</w:t>
      </w:r>
      <w:r>
        <w:rPr>
          <w:rFonts w:hint="eastAsia"/>
          <w:color w:val="auto"/>
        </w:rPr>
        <w:t>社会</w:t>
      </w:r>
      <w:r>
        <w:rPr>
          <w:color w:val="auto"/>
        </w:rPr>
        <w:t>监督三种方式。</w:t>
      </w:r>
    </w:p>
    <w:p>
      <w:pPr>
        <w:pStyle w:val="65"/>
        <w:spacing w:before="156" w:after="156"/>
        <w:rPr>
          <w:color w:val="auto"/>
        </w:rPr>
      </w:pPr>
      <w:bookmarkStart w:id="163" w:name="_Toc148086999"/>
      <w:bookmarkStart w:id="164" w:name="_Toc159856850"/>
      <w:bookmarkStart w:id="165" w:name="_Toc154390278"/>
      <w:bookmarkStart w:id="166" w:name="_Toc30364"/>
      <w:bookmarkStart w:id="167" w:name="_Toc10411"/>
      <w:bookmarkStart w:id="168" w:name="_Toc151560279"/>
      <w:r>
        <w:rPr>
          <w:rFonts w:hint="eastAsia"/>
          <w:color w:val="auto"/>
        </w:rPr>
        <w:t>自我</w:t>
      </w:r>
      <w:r>
        <w:rPr>
          <w:color w:val="auto"/>
        </w:rPr>
        <w:t>检查</w:t>
      </w:r>
      <w:bookmarkEnd w:id="163"/>
      <w:bookmarkEnd w:id="164"/>
      <w:bookmarkEnd w:id="165"/>
      <w:bookmarkEnd w:id="166"/>
      <w:bookmarkEnd w:id="167"/>
      <w:bookmarkEnd w:id="168"/>
    </w:p>
    <w:p>
      <w:pPr>
        <w:pStyle w:val="67"/>
        <w:ind w:firstLine="420"/>
        <w:rPr>
          <w:color w:val="auto"/>
        </w:rPr>
      </w:pPr>
      <w:r>
        <w:rPr>
          <w:rFonts w:hint="eastAsia"/>
          <w:color w:val="auto"/>
        </w:rPr>
        <w:t>公共</w:t>
      </w:r>
      <w:r>
        <w:rPr>
          <w:color w:val="auto"/>
        </w:rPr>
        <w:t>机构的自我检查包括日常检查、</w:t>
      </w:r>
      <w:r>
        <w:rPr>
          <w:rFonts w:hint="eastAsia"/>
          <w:color w:val="auto"/>
        </w:rPr>
        <w:t>年度检查，</w:t>
      </w:r>
      <w:r>
        <w:rPr>
          <w:color w:val="auto"/>
        </w:rPr>
        <w:t>应按</w:t>
      </w:r>
      <w:r>
        <w:rPr>
          <w:rFonts w:hint="eastAsia"/>
          <w:color w:val="auto"/>
        </w:rPr>
        <w:t>本文件第7章</w:t>
      </w:r>
      <w:r>
        <w:rPr>
          <w:color w:val="auto"/>
        </w:rPr>
        <w:t>的内容进行自查和自我改进，自查结果和改进措施应</w:t>
      </w:r>
      <w:r>
        <w:rPr>
          <w:rFonts w:hint="eastAsia"/>
          <w:color w:val="auto"/>
        </w:rPr>
        <w:t>整理</w:t>
      </w:r>
      <w:r>
        <w:rPr>
          <w:color w:val="auto"/>
        </w:rPr>
        <w:t>归档。</w:t>
      </w:r>
    </w:p>
    <w:p>
      <w:pPr>
        <w:pStyle w:val="65"/>
        <w:spacing w:before="156" w:after="156"/>
        <w:rPr>
          <w:color w:val="auto"/>
        </w:rPr>
      </w:pPr>
      <w:bookmarkStart w:id="169" w:name="_Toc148087000"/>
      <w:bookmarkStart w:id="170" w:name="_Toc154390279"/>
      <w:bookmarkStart w:id="171" w:name="_Toc151560280"/>
      <w:bookmarkStart w:id="172" w:name="_Toc159856851"/>
      <w:bookmarkStart w:id="173" w:name="_Toc31606"/>
      <w:bookmarkStart w:id="174" w:name="_Toc10546"/>
      <w:r>
        <w:rPr>
          <w:rFonts w:hint="eastAsia"/>
          <w:color w:val="auto"/>
        </w:rPr>
        <w:t>节能行业主管</w:t>
      </w:r>
      <w:r>
        <w:rPr>
          <w:color w:val="auto"/>
        </w:rPr>
        <w:t>部门</w:t>
      </w:r>
      <w:r>
        <w:rPr>
          <w:rFonts w:hint="eastAsia"/>
          <w:color w:val="auto"/>
        </w:rPr>
        <w:t>监督</w:t>
      </w:r>
      <w:bookmarkEnd w:id="169"/>
      <w:bookmarkEnd w:id="170"/>
      <w:bookmarkEnd w:id="171"/>
      <w:r>
        <w:rPr>
          <w:rFonts w:hint="eastAsia"/>
          <w:color w:val="auto"/>
        </w:rPr>
        <w:t>检查</w:t>
      </w:r>
      <w:bookmarkEnd w:id="172"/>
      <w:bookmarkEnd w:id="173"/>
      <w:bookmarkEnd w:id="174"/>
    </w:p>
    <w:p>
      <w:pPr>
        <w:pStyle w:val="67"/>
        <w:ind w:firstLine="420"/>
        <w:rPr>
          <w:color w:val="auto"/>
        </w:rPr>
      </w:pPr>
      <w:r>
        <w:rPr>
          <w:color w:val="auto"/>
        </w:rPr>
        <w:t>应积极配合负责公共机构节能</w:t>
      </w:r>
      <w:r>
        <w:rPr>
          <w:rFonts w:hint="eastAsia"/>
          <w:color w:val="auto"/>
        </w:rPr>
        <w:t>行业主管</w:t>
      </w:r>
      <w:r>
        <w:rPr>
          <w:color w:val="auto"/>
        </w:rPr>
        <w:t>部门对本单位节能工作的监督检查，如实说明情况并提供相关资料和数据。监督检查的内容包括但不限于：</w:t>
      </w:r>
    </w:p>
    <w:p>
      <w:pPr>
        <w:pStyle w:val="77"/>
        <w:numPr>
          <w:ilvl w:val="0"/>
          <w:numId w:val="17"/>
        </w:numPr>
        <w:rPr>
          <w:color w:val="auto"/>
        </w:rPr>
      </w:pPr>
      <w:r>
        <w:rPr>
          <w:color w:val="auto"/>
        </w:rPr>
        <w:t>年度节能目标和实施方案的制定、落实情况；</w:t>
      </w:r>
    </w:p>
    <w:p>
      <w:pPr>
        <w:pStyle w:val="77"/>
        <w:rPr>
          <w:color w:val="auto"/>
        </w:rPr>
      </w:pPr>
      <w:r>
        <w:rPr>
          <w:color w:val="auto"/>
        </w:rPr>
        <w:t>能源资源消费计量、监测和统计情况；</w:t>
      </w:r>
    </w:p>
    <w:p>
      <w:pPr>
        <w:pStyle w:val="77"/>
        <w:rPr>
          <w:color w:val="auto"/>
        </w:rPr>
      </w:pPr>
      <w:r>
        <w:rPr>
          <w:color w:val="auto"/>
        </w:rPr>
        <w:t>能源资源消耗定额执行情况；</w:t>
      </w:r>
    </w:p>
    <w:p>
      <w:pPr>
        <w:pStyle w:val="77"/>
        <w:rPr>
          <w:color w:val="auto"/>
        </w:rPr>
      </w:pPr>
      <w:r>
        <w:rPr>
          <w:color w:val="auto"/>
        </w:rPr>
        <w:t>节能管理规章制度建立情况；</w:t>
      </w:r>
    </w:p>
    <w:p>
      <w:pPr>
        <w:pStyle w:val="77"/>
        <w:rPr>
          <w:color w:val="auto"/>
        </w:rPr>
      </w:pPr>
      <w:r>
        <w:rPr>
          <w:color w:val="auto"/>
        </w:rPr>
        <w:t>能源管理岗位设置以及能源管理岗位责任制落实情况；</w:t>
      </w:r>
    </w:p>
    <w:p>
      <w:pPr>
        <w:pStyle w:val="77"/>
        <w:rPr>
          <w:color w:val="auto"/>
        </w:rPr>
      </w:pPr>
      <w:r>
        <w:rPr>
          <w:color w:val="auto"/>
        </w:rPr>
        <w:t>用能系统、设备节能运行情况；</w:t>
      </w:r>
    </w:p>
    <w:p>
      <w:pPr>
        <w:pStyle w:val="77"/>
        <w:rPr>
          <w:color w:val="auto"/>
        </w:rPr>
      </w:pPr>
      <w:r>
        <w:rPr>
          <w:color w:val="auto"/>
        </w:rPr>
        <w:t>开展能源审计情况；</w:t>
      </w:r>
    </w:p>
    <w:p>
      <w:pPr>
        <w:pStyle w:val="77"/>
        <w:rPr>
          <w:color w:val="auto"/>
        </w:rPr>
      </w:pPr>
      <w:r>
        <w:rPr>
          <w:color w:val="auto"/>
        </w:rPr>
        <w:t>公务用车配备、使用情况；</w:t>
      </w:r>
    </w:p>
    <w:p>
      <w:pPr>
        <w:pStyle w:val="77"/>
        <w:rPr>
          <w:color w:val="auto"/>
        </w:rPr>
      </w:pPr>
      <w:r>
        <w:rPr>
          <w:color w:val="auto"/>
        </w:rPr>
        <w:t>垃圾分类及资源循环利用的情况。</w:t>
      </w:r>
    </w:p>
    <w:p>
      <w:pPr>
        <w:pStyle w:val="65"/>
        <w:spacing w:before="156" w:after="156"/>
        <w:rPr>
          <w:color w:val="auto"/>
        </w:rPr>
      </w:pPr>
      <w:bookmarkStart w:id="175" w:name="_Toc148087001"/>
      <w:bookmarkStart w:id="176" w:name="_Toc21920"/>
      <w:bookmarkStart w:id="177" w:name="_Toc16494"/>
      <w:bookmarkStart w:id="178" w:name="_Toc151560281"/>
      <w:bookmarkStart w:id="179" w:name="_Toc154390280"/>
      <w:bookmarkStart w:id="180" w:name="_Toc159856852"/>
      <w:r>
        <w:rPr>
          <w:rFonts w:hint="eastAsia"/>
          <w:color w:val="auto"/>
        </w:rPr>
        <w:t>社会</w:t>
      </w:r>
      <w:r>
        <w:rPr>
          <w:color w:val="auto"/>
        </w:rPr>
        <w:t>监督</w:t>
      </w:r>
      <w:bookmarkEnd w:id="175"/>
      <w:bookmarkEnd w:id="176"/>
      <w:bookmarkEnd w:id="177"/>
      <w:bookmarkEnd w:id="178"/>
      <w:bookmarkEnd w:id="179"/>
      <w:bookmarkEnd w:id="180"/>
    </w:p>
    <w:p>
      <w:pPr>
        <w:pStyle w:val="68"/>
        <w:rPr>
          <w:color w:val="auto"/>
        </w:rPr>
      </w:pPr>
      <w:r>
        <w:rPr>
          <w:rFonts w:hint="eastAsia"/>
          <w:color w:val="auto"/>
        </w:rPr>
        <w:t>公共</w:t>
      </w:r>
      <w:r>
        <w:rPr>
          <w:color w:val="auto"/>
        </w:rPr>
        <w:t>机构节能工作应接受社会监督。</w:t>
      </w:r>
    </w:p>
    <w:p>
      <w:pPr>
        <w:pStyle w:val="68"/>
        <w:rPr>
          <w:rFonts w:hint="eastAsia"/>
          <w:color w:val="auto"/>
        </w:rPr>
      </w:pPr>
      <w:r>
        <w:rPr>
          <w:rFonts w:hint="eastAsia"/>
          <w:color w:val="auto"/>
        </w:rPr>
        <w:t>节能行业</w:t>
      </w:r>
      <w:r>
        <w:rPr>
          <w:color w:val="auto"/>
        </w:rPr>
        <w:t>主管部门应公布</w:t>
      </w:r>
      <w:r>
        <w:rPr>
          <w:rFonts w:hint="eastAsia"/>
          <w:color w:val="auto"/>
        </w:rPr>
        <w:t>监督</w:t>
      </w:r>
      <w:r>
        <w:rPr>
          <w:color w:val="auto"/>
        </w:rPr>
        <w:t>电话或其他联系方式，受理对</w:t>
      </w:r>
      <w:r>
        <w:rPr>
          <w:rFonts w:hint="eastAsia"/>
          <w:color w:val="auto"/>
        </w:rPr>
        <w:t>公共</w:t>
      </w:r>
      <w:r>
        <w:rPr>
          <w:color w:val="auto"/>
        </w:rPr>
        <w:t>机构浪费能源资源</w:t>
      </w:r>
      <w:r>
        <w:rPr>
          <w:rFonts w:hint="eastAsia"/>
          <w:color w:val="auto"/>
        </w:rPr>
        <w:t>行为</w:t>
      </w:r>
      <w:r>
        <w:rPr>
          <w:color w:val="auto"/>
        </w:rPr>
        <w:t>的</w:t>
      </w:r>
      <w:r>
        <w:rPr>
          <w:rFonts w:hint="eastAsia"/>
          <w:color w:val="auto"/>
        </w:rPr>
        <w:t>意见与建议</w:t>
      </w:r>
      <w:r>
        <w:rPr>
          <w:color w:val="auto"/>
        </w:rPr>
        <w:t>，应及时核实、整改</w:t>
      </w:r>
      <w:r>
        <w:rPr>
          <w:rFonts w:hint="eastAsia"/>
          <w:color w:val="auto"/>
        </w:rPr>
        <w:t>并予以公开。</w:t>
      </w:r>
    </w:p>
    <w:p>
      <w:pPr>
        <w:pStyle w:val="68"/>
        <w:numPr>
          <w:ilvl w:val="3"/>
          <w:numId w:val="0"/>
        </w:numPr>
        <w:ind w:leftChars="0"/>
        <w:rPr>
          <w:rFonts w:hint="eastAsia"/>
          <w:color w:val="auto"/>
        </w:rPr>
      </w:pPr>
    </w:p>
    <w:p>
      <w:pPr>
        <w:pStyle w:val="68"/>
        <w:numPr>
          <w:ilvl w:val="3"/>
          <w:numId w:val="0"/>
        </w:numPr>
        <w:ind w:leftChars="0"/>
        <w:rPr>
          <w:rFonts w:hint="eastAsia"/>
          <w:color w:val="auto"/>
        </w:rPr>
      </w:pPr>
    </w:p>
    <w:p>
      <w:pPr>
        <w:pStyle w:val="8"/>
        <w:jc w:val="left"/>
        <w:rPr>
          <w:rFonts w:ascii="黑体" w:hAnsi="黑体" w:eastAsia="黑体"/>
          <w:color w:val="auto"/>
        </w:rPr>
      </w:pPr>
      <w:r>
        <w:rPr>
          <w:rFonts w:ascii="黑体" w:hAnsi="黑体" w:eastAsia="黑体"/>
          <w:color w:val="auto"/>
        </w:rPr>
        <mc:AlternateContent>
          <mc:Choice Requires="wps">
            <w:drawing>
              <wp:anchor distT="0" distB="0" distL="114300" distR="114300" simplePos="0" relativeHeight="251665408" behindDoc="0" locked="0" layoutInCell="1" allowOverlap="1">
                <wp:simplePos x="0" y="0"/>
                <wp:positionH relativeFrom="column">
                  <wp:posOffset>2111375</wp:posOffset>
                </wp:positionH>
                <wp:positionV relativeFrom="paragraph">
                  <wp:posOffset>174625</wp:posOffset>
                </wp:positionV>
                <wp:extent cx="1800225" cy="0"/>
                <wp:effectExtent l="0" t="0" r="0" b="0"/>
                <wp:wrapNone/>
                <wp:docPr id="25" name="直接箭头连接符 5"/>
                <wp:cNvGraphicFramePr/>
                <a:graphic xmlns:a="http://schemas.openxmlformats.org/drawingml/2006/main">
                  <a:graphicData uri="http://schemas.microsoft.com/office/word/2010/wordprocessingShape">
                    <wps:wsp>
                      <wps:cNvCnPr>
                        <a:cxnSpLocks noChangeShapeType="1"/>
                      </wps:cNvCnPr>
                      <wps:spPr bwMode="auto">
                        <a:xfrm>
                          <a:off x="2970530" y="3605530"/>
                          <a:ext cx="1800225" cy="0"/>
                        </a:xfrm>
                        <a:prstGeom prst="straightConnector1">
                          <a:avLst/>
                        </a:prstGeom>
                        <a:noFill/>
                        <a:ln w="9525">
                          <a:solidFill>
                            <a:srgbClr val="000000"/>
                          </a:solidFill>
                          <a:round/>
                        </a:ln>
                        <a:effectLst/>
                      </wps:spPr>
                      <wps:bodyPr/>
                    </wps:wsp>
                  </a:graphicData>
                </a:graphic>
              </wp:anchor>
            </w:drawing>
          </mc:Choice>
          <mc:Fallback>
            <w:pict>
              <v:shape id="直接箭头连接符 5" o:spid="_x0000_s1026" o:spt="32" type="#_x0000_t32" style="position:absolute;left:0pt;margin-left:166.25pt;margin-top:13.75pt;height:0pt;width:141.75pt;z-index:251665408;mso-width-relative:page;mso-height-relative:page;" filled="f" stroked="t" coordsize="21600,21600" o:gfxdata="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&#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t4S4nYAAAACQEAAA8AAAAAAAAAAQAgAAAAIgAAAGRy&#10;cy9kb3ducmV2LnhtbFBLAQIUABQAAAAIAIdO4kB7ntT+BQIAANkDAAAOAAAAAAAAAAEAIAAAACcB&#10;AABkcnMvZTJvRG9jLnhtbFBLBQYAAAAABgAGAFkBAACeBQAAAAA=&#10;">
                <v:fill on="f" focussize="0,0"/>
                <v:stroke color="#000000" joinstyle="round"/>
                <v:imagedata o:title=""/>
                <o:lock v:ext="edit" aspectratio="f"/>
              </v:shape>
            </w:pict>
          </mc:Fallback>
        </mc:AlternateContent>
      </w: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default"/>
          <w:lang w:val="en-US" w:eastAsia="zh-CN"/>
        </w:rPr>
      </w:pPr>
    </w:p>
    <w:sectPr>
      <w:headerReference r:id="rId18" w:type="default"/>
      <w:footerReference r:id="rId20" w:type="default"/>
      <w:headerReference r:id="rId19" w:type="even"/>
      <w:footerReference r:id="rId21" w:type="even"/>
      <w:pgSz w:w="11906" w:h="16838"/>
      <w:pgMar w:top="1417" w:right="1134" w:bottom="1134" w:left="1418" w:header="1417" w:footer="1134"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D2C7D76-5234-4DA8-B225-759D089C0EF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2B597761-E3FD-404E-9573-6C61EA35FCF2}"/>
  </w:font>
  <w:font w:name="Dotum,Bold">
    <w:altName w:val="黑体"/>
    <w:panose1 w:val="00000000000000000000"/>
    <w:charset w:val="86"/>
    <w:family w:val="auto"/>
    <w:pitch w:val="default"/>
    <w:sig w:usb0="00000000" w:usb1="00000000" w:usb2="00000010" w:usb3="00000000" w:csb0="00040000" w:csb1="00000000"/>
    <w:embedRegular r:id="rId3" w:fontKey="{4B239D32-E133-4780-AF8B-D1F18E7305CA}"/>
  </w:font>
  <w:font w:name="SimSun,Bold">
    <w:altName w:val="黑体"/>
    <w:panose1 w:val="00000000000000000000"/>
    <w:charset w:val="86"/>
    <w:family w:val="auto"/>
    <w:pitch w:val="default"/>
    <w:sig w:usb0="00000000" w:usb1="00000000" w:usb2="00000010" w:usb3="00000000" w:csb0="00040000" w:csb1="00000000"/>
    <w:embedRegular r:id="rId4" w:fontKey="{5CD0FD38-B621-441B-9A59-DE100D9AEBF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677"/>
        <w:tab w:val="clear" w:pos="4153"/>
      </w:tabs>
      <w:rPr>
        <w:rFonts w:asciiTheme="minorEastAsia" w:hAnsiTheme="minorEastAsia"/>
      </w:rPr>
    </w:pPr>
    <w:r>
      <w:rPr>
        <w:rFonts w:hint="eastAsia" w:asciiTheme="minorEastAsia" w:hAnsiTheme="minorEastAsia"/>
        <w:lang w:eastAsia="zh-CN"/>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737"/>
        <w:tab w:val="right" w:pos="9354"/>
      </w:tabs>
      <w:jc w:val="left"/>
      <w:rPr>
        <w:rFonts w:asciiTheme="minorEastAsia" w:hAnsiTheme="minorEastAsia"/>
      </w:rPr>
    </w:pPr>
    <w:r>
      <w:rPr>
        <w:sz w:val="18"/>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737"/>
        <w:tab w:val="right" w:pos="9354"/>
      </w:tabs>
      <w:jc w:val="left"/>
      <w:rPr>
        <w:rFonts w:asciiTheme="minorEastAsia" w:hAnsiTheme="minorEastAsia"/>
      </w:rPr>
    </w:pPr>
    <w:r>
      <w:rPr>
        <w:sz w:val="18"/>
      </w:rP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r>
      <w:rPr>
        <w:rFonts w:hint="eastAsia" w:asciiTheme="minorEastAsia" w:hAnsiTheme="minorEastAsia"/>
        <w:lang w:eastAsia="zh-CN"/>
      </w:rPr>
      <w:tab/>
    </w:r>
    <w:r>
      <w:rPr>
        <w:rFonts w:hint="eastAsia" w:asciiTheme="minorEastAsia" w:hAnsiTheme="minorEastAsia"/>
        <w:lang w:eastAsia="zh-CN"/>
      </w:rPr>
      <w:tab/>
    </w:r>
    <w:r>
      <w:rPr>
        <w:rFonts w:hint="eastAsia" w:asciiTheme="minorEastAsia" w:hAnsiTheme="minorEastAsia"/>
        <w:lang w:eastAsia="zh-CN"/>
      </w:rPr>
      <w:tab/>
    </w:r>
    <w:r>
      <w:rPr>
        <w:rFonts w:hint="eastAsia" w:asciiTheme="minorEastAsia" w:hAnsiTheme="minorEastAsia"/>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70528"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left" w:pos="8524"/>
        <w:tab w:val="clear" w:pos="4153"/>
      </w:tabs>
      <w:rPr>
        <w:rFonts w:asciiTheme="minorEastAsia" w:hAnsiTheme="minorEastAsia"/>
      </w:rPr>
    </w:pPr>
    <w:r>
      <w:rPr>
        <w:rFonts w:hint="eastAsia" w:asciiTheme="minorEastAsia" w:hAnsiTheme="minorEastAsia"/>
        <w:lang w:eastAsia="zh-CN"/>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71552" behindDoc="0" locked="0" layoutInCell="1" allowOverlap="1">
              <wp:simplePos x="0" y="0"/>
              <wp:positionH relativeFrom="margin">
                <wp:align>right</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jc w:val="center"/>
                          </w:pPr>
                          <w:r>
                            <w:ptab w:relativeTo="margin" w:alignment="right" w:leader="none"/>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pPr>
                      <w:pStyle w:val="13"/>
                      <w:jc w:val="center"/>
                    </w:pPr>
                    <w:r>
                      <w:ptab w:relativeTo="margin" w:alignment="right" w:leader="none"/>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72576" behindDoc="0" locked="0" layoutInCell="1" allowOverlap="1">
              <wp:simplePos x="0" y="0"/>
              <wp:positionH relativeFrom="margin">
                <wp:align>right</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Style w:val="34"/>
        <w:rFonts w:hint="default" w:ascii="黑体" w:hAnsi="黑体" w:eastAsia="黑体"/>
        <w:i w:val="0"/>
        <w:color w:val="808080" w:themeColor="text1" w:themeTint="80"/>
        <w:lang w:val="en-US" w:eastAsia="zh-CN"/>
        <w14:textFill>
          <w14:solidFill>
            <w14:schemeClr w14:val="tx1">
              <w14:lumMod w14:val="50000"/>
              <w14:lumOff w14:val="50000"/>
            </w14:schemeClr>
          </w14:solidFill>
        </w14:textFill>
      </w:rPr>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lang w:val="en-US" w:eastAsia="zh-CN"/>
      </w:rPr>
      <w:t>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hint="eastAsia" w:ascii="黑体" w:hAnsi="黑体" w:eastAsia="黑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hint="eastAsia" w:ascii="黑体" w:hAnsi="黑体" w:eastAsia="黑体"/>
        <w:lang w:eastAsia="zh-CN"/>
      </w:rPr>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lang w:val="en-US" w:eastAsia="zh-CN"/>
      </w:rPr>
      <w:t>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Style w:val="34"/>
        <w:rFonts w:hint="default" w:ascii="黑体" w:hAnsi="黑体" w:eastAsia="黑体"/>
        <w:i w:val="0"/>
        <w:color w:val="808080" w:themeColor="text1" w:themeTint="80"/>
        <w:lang w:val="en-US" w:eastAsia="zh-CN"/>
        <w14:textFill>
          <w14:solidFill>
            <w14:schemeClr w14:val="tx1">
              <w14:lumMod w14:val="50000"/>
              <w14:lumOff w14:val="50000"/>
            </w14:schemeClr>
          </w14:solidFill>
        </w14:textFill>
      </w:rPr>
    </w:pPr>
    <w:r>
      <w:ptab w:relativeTo="margin" w:alignment="left" w:leader="none"/>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hint="eastAsia" w:ascii="黑体" w:hAnsi="黑体" w:eastAsia="黑体"/>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keepNext w:val="0"/>
      <w:keepLines w:val="0"/>
      <w:pageBreakBefore w:val="0"/>
      <w:widowControl w:val="0"/>
      <w:kinsoku/>
      <w:wordWrap/>
      <w:overflowPunct/>
      <w:topLinePunct w:val="0"/>
      <w:autoSpaceDE/>
      <w:autoSpaceDN/>
      <w:bidi w:val="0"/>
      <w:adjustRightInd w:val="0"/>
      <w:snapToGrid w:val="0"/>
      <w:spacing w:after="283"/>
      <w:textAlignment w:val="auto"/>
      <w:rPr>
        <w:rStyle w:val="34"/>
        <w:rFonts w:hint="eastAsia" w:ascii="黑体" w:hAnsi="黑体" w:eastAsia="黑体"/>
        <w:i w:val="0"/>
        <w:color w:val="808080" w:themeColor="text1" w:themeTint="80"/>
        <w:lang w:eastAsia="zh-CN"/>
        <w14:textFill>
          <w14:solidFill>
            <w14:schemeClr w14:val="tx1">
              <w14:lumMod w14:val="50000"/>
              <w14:lumOff w14:val="50000"/>
            </w14:schemeClr>
          </w14:solidFill>
        </w14:textFill>
      </w:rPr>
    </w:pPr>
    <w:r>
      <w:ptab w:relativeTo="margin" w:alignment="right" w:leader="none"/>
    </w: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lang w:val="en-US" w:eastAsia="zh-CN"/>
      </w:rPr>
      <w:t>4</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left"/>
      <w:rPr>
        <w:rStyle w:val="34"/>
        <w:rFonts w:hint="default" w:ascii="黑体" w:hAnsi="黑体" w:eastAsia="黑体"/>
        <w:i w:val="0"/>
        <w:color w:val="808080" w:themeColor="text1" w:themeTint="80"/>
        <w:lang w:val="en-US" w:eastAsia="zh-CN"/>
        <w14:textFill>
          <w14:solidFill>
            <w14:schemeClr w14:val="tx1">
              <w14:lumMod w14:val="50000"/>
              <w14:lumOff w14:val="50000"/>
            </w14:schemeClr>
          </w14:solidFill>
        </w14:textFill>
      </w:rPr>
    </w:pPr>
    <w:r>
      <w:rPr>
        <w:rFonts w:hint="eastAsia" w:ascii="黑体" w:hAnsi="黑体" w:eastAsia="黑体"/>
      </w:rPr>
      <w:t>DB32</w:t>
    </w:r>
    <w:r>
      <w:rPr>
        <w:rFonts w:ascii="黑体" w:hAnsi="黑体" w:eastAsia="黑体"/>
      </w:rPr>
      <w:t>05</w:t>
    </w:r>
    <w:r>
      <w:rPr>
        <w:rFonts w:hint="eastAsia" w:ascii="黑体" w:hAnsi="黑体" w:eastAsia="黑体"/>
      </w:rPr>
      <w:t>/T XXX—20</w:t>
    </w:r>
    <w:r>
      <w:rPr>
        <w:rFonts w:hint="eastAsia" w:ascii="黑体" w:hAnsi="黑体" w:eastAsia="黑体"/>
        <w:lang w:val="en-US" w:eastAsia="zh-CN"/>
      </w:rPr>
      <w:t>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D3FEA"/>
    <w:multiLevelType w:val="multilevel"/>
    <w:tmpl w:val="07ED3FEA"/>
    <w:lvl w:ilvl="0" w:tentative="0">
      <w:start w:val="1"/>
      <w:numFmt w:val="none"/>
      <w:pStyle w:val="49"/>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15EF0C26"/>
    <w:multiLevelType w:val="multilevel"/>
    <w:tmpl w:val="15EF0C26"/>
    <w:lvl w:ilvl="0" w:tentative="0">
      <w:start w:val="1"/>
      <w:numFmt w:val="lowerLetter"/>
      <w:pStyle w:val="55"/>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1FC91163"/>
    <w:multiLevelType w:val="multilevel"/>
    <w:tmpl w:val="1FC91163"/>
    <w:lvl w:ilvl="0" w:tentative="0">
      <w:start w:val="1"/>
      <w:numFmt w:val="decimal"/>
      <w:pStyle w:val="5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5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C5917C3"/>
    <w:multiLevelType w:val="multilevel"/>
    <w:tmpl w:val="2C5917C3"/>
    <w:lvl w:ilvl="0" w:tentative="0">
      <w:start w:val="1"/>
      <w:numFmt w:val="none"/>
      <w:suff w:val="nothing"/>
      <w:lvlText w:val="%1——"/>
      <w:lvlJc w:val="left"/>
      <w:pPr>
        <w:ind w:left="833" w:hanging="408"/>
      </w:pPr>
      <w:rPr>
        <w:rFonts w:hint="eastAsia"/>
        <w:lang w:val="en-US"/>
      </w:rPr>
    </w:lvl>
    <w:lvl w:ilvl="1" w:tentative="0">
      <w:start w:val="1"/>
      <w:numFmt w:val="bullet"/>
      <w:pStyle w:val="56"/>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4">
    <w:nsid w:val="44C50F90"/>
    <w:multiLevelType w:val="multilevel"/>
    <w:tmpl w:val="44C50F90"/>
    <w:lvl w:ilvl="0" w:tentative="0">
      <w:start w:val="1"/>
      <w:numFmt w:val="lowerLetter"/>
      <w:pStyle w:val="77"/>
      <w:lvlText w:val="%1)"/>
      <w:lvlJc w:val="left"/>
      <w:pPr>
        <w:tabs>
          <w:tab w:val="left" w:pos="851"/>
        </w:tabs>
        <w:ind w:left="851" w:hanging="426"/>
      </w:pPr>
      <w:rPr>
        <w:rFonts w:hint="eastAsia" w:ascii="宋体" w:hAnsi="Times New Roman" w:eastAsia="宋体"/>
        <w:sz w:val="21"/>
      </w:rPr>
    </w:lvl>
    <w:lvl w:ilvl="1" w:tentative="0">
      <w:start w:val="1"/>
      <w:numFmt w:val="decimal"/>
      <w:pStyle w:val="78"/>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pStyle w:val="7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646260FA"/>
    <w:multiLevelType w:val="multilevel"/>
    <w:tmpl w:val="646260FA"/>
    <w:lvl w:ilvl="0" w:tentative="0">
      <w:start w:val="1"/>
      <w:numFmt w:val="decimal"/>
      <w:pStyle w:val="6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57D3FBC"/>
    <w:multiLevelType w:val="multilevel"/>
    <w:tmpl w:val="657D3FBC"/>
    <w:lvl w:ilvl="0" w:tentative="0">
      <w:start w:val="1"/>
      <w:numFmt w:val="upperLetter"/>
      <w:pStyle w:val="59"/>
      <w:suff w:val="nothing"/>
      <w:lvlText w:val="附　录　%1"/>
      <w:lvlJc w:val="left"/>
      <w:pPr>
        <w:ind w:left="4410" w:firstLine="0"/>
      </w:pPr>
      <w:rPr>
        <w:rFonts w:hint="eastAsia" w:ascii="黑体" w:hAnsi="Times New Roman" w:eastAsia="黑体"/>
        <w:b w:val="0"/>
        <w:i w:val="0"/>
        <w:spacing w:val="0"/>
        <w:w w:val="100"/>
        <w:sz w:val="21"/>
      </w:rPr>
    </w:lvl>
    <w:lvl w:ilvl="1" w:tentative="0">
      <w:start w:val="1"/>
      <w:numFmt w:val="decimal"/>
      <w:pStyle w:val="73"/>
      <w:suff w:val="nothing"/>
      <w:lvlText w:val="%1.%2　"/>
      <w:lvlJc w:val="left"/>
      <w:pPr>
        <w:ind w:left="441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4410" w:firstLine="0"/>
      </w:pPr>
      <w:rPr>
        <w:rFonts w:hint="eastAsia" w:ascii="黑体" w:hAnsi="Times New Roman" w:eastAsia="黑体"/>
        <w:b w:val="0"/>
        <w:i w:val="0"/>
        <w:sz w:val="21"/>
      </w:rPr>
    </w:lvl>
    <w:lvl w:ilvl="3" w:tentative="0">
      <w:start w:val="1"/>
      <w:numFmt w:val="decimal"/>
      <w:suff w:val="nothing"/>
      <w:lvlText w:val="%1.%2.%3.%4　"/>
      <w:lvlJc w:val="left"/>
      <w:pPr>
        <w:ind w:left="4410" w:firstLine="0"/>
      </w:pPr>
      <w:rPr>
        <w:rFonts w:hint="eastAsia" w:ascii="黑体" w:hAnsi="Times New Roman" w:eastAsia="黑体"/>
        <w:b w:val="0"/>
        <w:i w:val="0"/>
        <w:sz w:val="21"/>
      </w:rPr>
    </w:lvl>
    <w:lvl w:ilvl="4" w:tentative="0">
      <w:start w:val="1"/>
      <w:numFmt w:val="decimal"/>
      <w:suff w:val="nothing"/>
      <w:lvlText w:val="%1.%2.%3.%4.%5　"/>
      <w:lvlJc w:val="left"/>
      <w:pPr>
        <w:ind w:left="4410" w:firstLine="0"/>
      </w:pPr>
      <w:rPr>
        <w:rFonts w:hint="eastAsia" w:ascii="黑体" w:hAnsi="Times New Roman" w:eastAsia="黑体"/>
        <w:b w:val="0"/>
        <w:i w:val="0"/>
        <w:sz w:val="21"/>
      </w:rPr>
    </w:lvl>
    <w:lvl w:ilvl="5" w:tentative="0">
      <w:start w:val="1"/>
      <w:numFmt w:val="decimal"/>
      <w:suff w:val="nothing"/>
      <w:lvlText w:val="%1.%2.%3.%4.%5.%6　"/>
      <w:lvlJc w:val="left"/>
      <w:pPr>
        <w:ind w:left="4410" w:firstLine="0"/>
      </w:pPr>
      <w:rPr>
        <w:rFonts w:hint="eastAsia" w:ascii="黑体" w:hAnsi="Times New Roman" w:eastAsia="黑体"/>
        <w:b w:val="0"/>
        <w:i w:val="0"/>
        <w:sz w:val="21"/>
      </w:rPr>
    </w:lvl>
    <w:lvl w:ilvl="6" w:tentative="0">
      <w:start w:val="1"/>
      <w:numFmt w:val="decimal"/>
      <w:suff w:val="nothing"/>
      <w:lvlText w:val="%1.%2.%3.%4.%5.%6.%7　"/>
      <w:lvlJc w:val="left"/>
      <w:pPr>
        <w:ind w:left="441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8804" w:hanging="1418"/>
      </w:pPr>
      <w:rPr>
        <w:rFonts w:hint="eastAsia"/>
      </w:rPr>
    </w:lvl>
    <w:lvl w:ilvl="8" w:tentative="0">
      <w:start w:val="1"/>
      <w:numFmt w:val="decimal"/>
      <w:lvlText w:val="%1.%2.%3.%4.%5.%6.%7.%8.%9"/>
      <w:lvlJc w:val="left"/>
      <w:pPr>
        <w:tabs>
          <w:tab w:val="left" w:pos="5102"/>
        </w:tabs>
        <w:ind w:left="9512" w:hanging="1700"/>
      </w:pPr>
      <w:rPr>
        <w:rFonts w:hint="eastAsia"/>
      </w:rPr>
    </w:lvl>
  </w:abstractNum>
  <w:abstractNum w:abstractNumId="8">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66"/>
      <w:suff w:val="nothing"/>
      <w:lvlText w:val="%1%2　"/>
      <w:lvlJc w:val="left"/>
      <w:pPr>
        <w:ind w:left="0" w:firstLine="0"/>
      </w:pPr>
      <w:rPr>
        <w:rFonts w:hint="eastAsia" w:ascii="黑体" w:eastAsia="黑体"/>
        <w:b w:val="0"/>
        <w:i w:val="0"/>
        <w:sz w:val="21"/>
      </w:rPr>
    </w:lvl>
    <w:lvl w:ilvl="2" w:tentative="0">
      <w:start w:val="1"/>
      <w:numFmt w:val="decimal"/>
      <w:pStyle w:val="6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80"/>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6DBF04F4"/>
    <w:multiLevelType w:val="multilevel"/>
    <w:tmpl w:val="6DBF04F4"/>
    <w:lvl w:ilvl="0" w:tentative="0">
      <w:start w:val="1"/>
      <w:numFmt w:val="none"/>
      <w:pStyle w:val="5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0"/>
  </w:num>
  <w:num w:numId="2">
    <w:abstractNumId w:val="2"/>
  </w:num>
  <w:num w:numId="3">
    <w:abstractNumId w:val="1"/>
  </w:num>
  <w:num w:numId="4">
    <w:abstractNumId w:val="3"/>
  </w:num>
  <w:num w:numId="5">
    <w:abstractNumId w:val="9"/>
  </w:num>
  <w:num w:numId="6">
    <w:abstractNumId w:val="7"/>
  </w:num>
  <w:num w:numId="7">
    <w:abstractNumId w:val="6"/>
  </w:num>
  <w:num w:numId="8">
    <w:abstractNumId w:val="8"/>
  </w:num>
  <w:num w:numId="9">
    <w:abstractNumId w:val="5"/>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mirrorMargins w:val="1"/>
  <w:bordersDoNotSurroundHeader w:val="1"/>
  <w:bordersDoNotSurroundFooter w:val="1"/>
  <w:documentProtection w:edit="trackedChanges"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JjOTdkMDk2ZTI1OWZiYzFjYTFjZDJlOTYxYjQ5ZTIifQ=="/>
    <w:docVar w:name="KSO_WPS_MARK_KEY" w:val="52548aae-2002-4139-9182-7b8689647ee4"/>
  </w:docVars>
  <w:rsids>
    <w:rsidRoot w:val="002C4A7A"/>
    <w:rsid w:val="00000C6F"/>
    <w:rsid w:val="00002D7A"/>
    <w:rsid w:val="00005817"/>
    <w:rsid w:val="00013861"/>
    <w:rsid w:val="000173A8"/>
    <w:rsid w:val="0001746B"/>
    <w:rsid w:val="00031630"/>
    <w:rsid w:val="0003782B"/>
    <w:rsid w:val="000505F8"/>
    <w:rsid w:val="000511AD"/>
    <w:rsid w:val="0005686E"/>
    <w:rsid w:val="00056E11"/>
    <w:rsid w:val="0006343E"/>
    <w:rsid w:val="00065304"/>
    <w:rsid w:val="00071463"/>
    <w:rsid w:val="00074CE1"/>
    <w:rsid w:val="00075ADA"/>
    <w:rsid w:val="00081105"/>
    <w:rsid w:val="000814DC"/>
    <w:rsid w:val="0009093B"/>
    <w:rsid w:val="0009104A"/>
    <w:rsid w:val="00092A3E"/>
    <w:rsid w:val="000944B1"/>
    <w:rsid w:val="000946C9"/>
    <w:rsid w:val="0009741B"/>
    <w:rsid w:val="000A05E2"/>
    <w:rsid w:val="000B1AD2"/>
    <w:rsid w:val="000B5222"/>
    <w:rsid w:val="000C1F9F"/>
    <w:rsid w:val="000D3EF6"/>
    <w:rsid w:val="000D5C84"/>
    <w:rsid w:val="000E084D"/>
    <w:rsid w:val="000E4AD1"/>
    <w:rsid w:val="000F2CB4"/>
    <w:rsid w:val="001103A2"/>
    <w:rsid w:val="00110D5E"/>
    <w:rsid w:val="00110EC6"/>
    <w:rsid w:val="00112AF7"/>
    <w:rsid w:val="00113409"/>
    <w:rsid w:val="001202C0"/>
    <w:rsid w:val="00120961"/>
    <w:rsid w:val="0012099B"/>
    <w:rsid w:val="00133094"/>
    <w:rsid w:val="0014534C"/>
    <w:rsid w:val="001462B7"/>
    <w:rsid w:val="00147278"/>
    <w:rsid w:val="00147564"/>
    <w:rsid w:val="00147A7E"/>
    <w:rsid w:val="00147F7E"/>
    <w:rsid w:val="001516E1"/>
    <w:rsid w:val="0015700F"/>
    <w:rsid w:val="0016095C"/>
    <w:rsid w:val="0016154E"/>
    <w:rsid w:val="001720FB"/>
    <w:rsid w:val="00173651"/>
    <w:rsid w:val="0017564C"/>
    <w:rsid w:val="00175A7C"/>
    <w:rsid w:val="001760F7"/>
    <w:rsid w:val="00176E61"/>
    <w:rsid w:val="00195C90"/>
    <w:rsid w:val="0019613E"/>
    <w:rsid w:val="001A1683"/>
    <w:rsid w:val="001A2848"/>
    <w:rsid w:val="001A2A72"/>
    <w:rsid w:val="001A2CD6"/>
    <w:rsid w:val="001B007D"/>
    <w:rsid w:val="001B0CF3"/>
    <w:rsid w:val="001B3AC1"/>
    <w:rsid w:val="001C0F5C"/>
    <w:rsid w:val="001C10DE"/>
    <w:rsid w:val="001C3415"/>
    <w:rsid w:val="001C4DED"/>
    <w:rsid w:val="001C7FB4"/>
    <w:rsid w:val="001D0910"/>
    <w:rsid w:val="001D2F2F"/>
    <w:rsid w:val="001D2F99"/>
    <w:rsid w:val="001D48D0"/>
    <w:rsid w:val="001D70CD"/>
    <w:rsid w:val="001E0871"/>
    <w:rsid w:val="001E3D11"/>
    <w:rsid w:val="001E4804"/>
    <w:rsid w:val="001E7BD6"/>
    <w:rsid w:val="001F47C8"/>
    <w:rsid w:val="00211953"/>
    <w:rsid w:val="002209AC"/>
    <w:rsid w:val="00220A99"/>
    <w:rsid w:val="00222A27"/>
    <w:rsid w:val="00223A5B"/>
    <w:rsid w:val="00223BD4"/>
    <w:rsid w:val="00230CF6"/>
    <w:rsid w:val="00230F2F"/>
    <w:rsid w:val="00247720"/>
    <w:rsid w:val="00251127"/>
    <w:rsid w:val="00251550"/>
    <w:rsid w:val="002517ED"/>
    <w:rsid w:val="00262444"/>
    <w:rsid w:val="00276A28"/>
    <w:rsid w:val="002829F1"/>
    <w:rsid w:val="0028337F"/>
    <w:rsid w:val="00285357"/>
    <w:rsid w:val="00286986"/>
    <w:rsid w:val="00290F18"/>
    <w:rsid w:val="00293BD3"/>
    <w:rsid w:val="002950A9"/>
    <w:rsid w:val="00296094"/>
    <w:rsid w:val="002A2A23"/>
    <w:rsid w:val="002A4D51"/>
    <w:rsid w:val="002A5A01"/>
    <w:rsid w:val="002A5BCE"/>
    <w:rsid w:val="002B3E52"/>
    <w:rsid w:val="002B5800"/>
    <w:rsid w:val="002C253D"/>
    <w:rsid w:val="002C3A09"/>
    <w:rsid w:val="002C4A7A"/>
    <w:rsid w:val="002C57A0"/>
    <w:rsid w:val="002C639A"/>
    <w:rsid w:val="002D2351"/>
    <w:rsid w:val="002D38F3"/>
    <w:rsid w:val="002D49DC"/>
    <w:rsid w:val="002D54BC"/>
    <w:rsid w:val="002E5B5C"/>
    <w:rsid w:val="002F2052"/>
    <w:rsid w:val="002F2C23"/>
    <w:rsid w:val="002F3CCA"/>
    <w:rsid w:val="00301D6E"/>
    <w:rsid w:val="0030224A"/>
    <w:rsid w:val="00302D0D"/>
    <w:rsid w:val="00304C82"/>
    <w:rsid w:val="00311B67"/>
    <w:rsid w:val="0031322E"/>
    <w:rsid w:val="00317DB9"/>
    <w:rsid w:val="00327834"/>
    <w:rsid w:val="00330DE3"/>
    <w:rsid w:val="00334B35"/>
    <w:rsid w:val="00334DA4"/>
    <w:rsid w:val="00335ABA"/>
    <w:rsid w:val="00340030"/>
    <w:rsid w:val="00340CAC"/>
    <w:rsid w:val="003422C6"/>
    <w:rsid w:val="003438AA"/>
    <w:rsid w:val="00344E14"/>
    <w:rsid w:val="0034543B"/>
    <w:rsid w:val="00346C04"/>
    <w:rsid w:val="00354DAE"/>
    <w:rsid w:val="00355096"/>
    <w:rsid w:val="003568F1"/>
    <w:rsid w:val="00362FF0"/>
    <w:rsid w:val="003662BC"/>
    <w:rsid w:val="00366DB7"/>
    <w:rsid w:val="00367200"/>
    <w:rsid w:val="0037136A"/>
    <w:rsid w:val="003720DC"/>
    <w:rsid w:val="00375FCF"/>
    <w:rsid w:val="00387FF8"/>
    <w:rsid w:val="00393266"/>
    <w:rsid w:val="003A0DBB"/>
    <w:rsid w:val="003A238B"/>
    <w:rsid w:val="003B6878"/>
    <w:rsid w:val="003C0E5B"/>
    <w:rsid w:val="003C2C65"/>
    <w:rsid w:val="003C31B0"/>
    <w:rsid w:val="003D0151"/>
    <w:rsid w:val="003D13FA"/>
    <w:rsid w:val="003D1497"/>
    <w:rsid w:val="003E0580"/>
    <w:rsid w:val="003E28CE"/>
    <w:rsid w:val="003F714F"/>
    <w:rsid w:val="00407B9E"/>
    <w:rsid w:val="00417738"/>
    <w:rsid w:val="0042003E"/>
    <w:rsid w:val="004212D3"/>
    <w:rsid w:val="00422051"/>
    <w:rsid w:val="0042333A"/>
    <w:rsid w:val="00426BC8"/>
    <w:rsid w:val="00430DD2"/>
    <w:rsid w:val="004426FC"/>
    <w:rsid w:val="0044581A"/>
    <w:rsid w:val="00451407"/>
    <w:rsid w:val="00451847"/>
    <w:rsid w:val="00454031"/>
    <w:rsid w:val="0045451F"/>
    <w:rsid w:val="004574AE"/>
    <w:rsid w:val="004610BF"/>
    <w:rsid w:val="00471508"/>
    <w:rsid w:val="004926A0"/>
    <w:rsid w:val="00495E4E"/>
    <w:rsid w:val="004A0644"/>
    <w:rsid w:val="004A132F"/>
    <w:rsid w:val="004A6AB6"/>
    <w:rsid w:val="004B01AE"/>
    <w:rsid w:val="004B12F5"/>
    <w:rsid w:val="004B2D06"/>
    <w:rsid w:val="004B540D"/>
    <w:rsid w:val="004C2F70"/>
    <w:rsid w:val="004C5E71"/>
    <w:rsid w:val="004D09E4"/>
    <w:rsid w:val="004D424C"/>
    <w:rsid w:val="004D5B9A"/>
    <w:rsid w:val="004E01DA"/>
    <w:rsid w:val="004E3E2D"/>
    <w:rsid w:val="004E4186"/>
    <w:rsid w:val="004E4DE6"/>
    <w:rsid w:val="004F0C75"/>
    <w:rsid w:val="004F3DCC"/>
    <w:rsid w:val="00506EF4"/>
    <w:rsid w:val="005102EF"/>
    <w:rsid w:val="00510EBE"/>
    <w:rsid w:val="005122CD"/>
    <w:rsid w:val="00520237"/>
    <w:rsid w:val="00523728"/>
    <w:rsid w:val="00524CE2"/>
    <w:rsid w:val="0053086A"/>
    <w:rsid w:val="00534D92"/>
    <w:rsid w:val="00536AD1"/>
    <w:rsid w:val="00540818"/>
    <w:rsid w:val="00542910"/>
    <w:rsid w:val="00546657"/>
    <w:rsid w:val="00554600"/>
    <w:rsid w:val="0055478B"/>
    <w:rsid w:val="005606B4"/>
    <w:rsid w:val="00563D0F"/>
    <w:rsid w:val="005701EA"/>
    <w:rsid w:val="00575480"/>
    <w:rsid w:val="00591331"/>
    <w:rsid w:val="005928C2"/>
    <w:rsid w:val="00596070"/>
    <w:rsid w:val="005A2C7F"/>
    <w:rsid w:val="005A4975"/>
    <w:rsid w:val="005A60AC"/>
    <w:rsid w:val="005B6D29"/>
    <w:rsid w:val="005C370B"/>
    <w:rsid w:val="005E015F"/>
    <w:rsid w:val="005E1CA7"/>
    <w:rsid w:val="005F2DCC"/>
    <w:rsid w:val="005F5CFF"/>
    <w:rsid w:val="00600F7C"/>
    <w:rsid w:val="006045C0"/>
    <w:rsid w:val="00610AF4"/>
    <w:rsid w:val="00613357"/>
    <w:rsid w:val="00616AFA"/>
    <w:rsid w:val="00621AD2"/>
    <w:rsid w:val="00626507"/>
    <w:rsid w:val="0062656D"/>
    <w:rsid w:val="00633884"/>
    <w:rsid w:val="00635FE2"/>
    <w:rsid w:val="00637850"/>
    <w:rsid w:val="00640CD9"/>
    <w:rsid w:val="00646C9D"/>
    <w:rsid w:val="006476F3"/>
    <w:rsid w:val="0065660B"/>
    <w:rsid w:val="00662568"/>
    <w:rsid w:val="006738FB"/>
    <w:rsid w:val="00673C24"/>
    <w:rsid w:val="006763FD"/>
    <w:rsid w:val="006839CD"/>
    <w:rsid w:val="006867E4"/>
    <w:rsid w:val="00686AB4"/>
    <w:rsid w:val="00687FF9"/>
    <w:rsid w:val="00694817"/>
    <w:rsid w:val="00695FD6"/>
    <w:rsid w:val="006965B2"/>
    <w:rsid w:val="00697323"/>
    <w:rsid w:val="006A3A00"/>
    <w:rsid w:val="006A587D"/>
    <w:rsid w:val="006B00F8"/>
    <w:rsid w:val="006B0EDD"/>
    <w:rsid w:val="006B4E4A"/>
    <w:rsid w:val="006D1713"/>
    <w:rsid w:val="006D3593"/>
    <w:rsid w:val="006D384B"/>
    <w:rsid w:val="006D7F23"/>
    <w:rsid w:val="006E42DF"/>
    <w:rsid w:val="006E6B90"/>
    <w:rsid w:val="00705B6D"/>
    <w:rsid w:val="0070744F"/>
    <w:rsid w:val="007078CB"/>
    <w:rsid w:val="00711444"/>
    <w:rsid w:val="00716D47"/>
    <w:rsid w:val="00717C25"/>
    <w:rsid w:val="00720335"/>
    <w:rsid w:val="00721D42"/>
    <w:rsid w:val="00723CE8"/>
    <w:rsid w:val="00724CC3"/>
    <w:rsid w:val="00732CFF"/>
    <w:rsid w:val="00732DD3"/>
    <w:rsid w:val="00733FAB"/>
    <w:rsid w:val="00734A6B"/>
    <w:rsid w:val="00736BCB"/>
    <w:rsid w:val="007373F7"/>
    <w:rsid w:val="007404DC"/>
    <w:rsid w:val="0074159C"/>
    <w:rsid w:val="0074173E"/>
    <w:rsid w:val="00741CBE"/>
    <w:rsid w:val="00743636"/>
    <w:rsid w:val="00751B91"/>
    <w:rsid w:val="00754A67"/>
    <w:rsid w:val="007569D0"/>
    <w:rsid w:val="00762676"/>
    <w:rsid w:val="007667E9"/>
    <w:rsid w:val="007747B0"/>
    <w:rsid w:val="00775703"/>
    <w:rsid w:val="0077630C"/>
    <w:rsid w:val="00777F91"/>
    <w:rsid w:val="00784961"/>
    <w:rsid w:val="007906E7"/>
    <w:rsid w:val="00790CFC"/>
    <w:rsid w:val="00793C9B"/>
    <w:rsid w:val="007A262B"/>
    <w:rsid w:val="007A325E"/>
    <w:rsid w:val="007B71FE"/>
    <w:rsid w:val="007B7740"/>
    <w:rsid w:val="007C5205"/>
    <w:rsid w:val="007C6FAF"/>
    <w:rsid w:val="007C72D7"/>
    <w:rsid w:val="007D209B"/>
    <w:rsid w:val="007D6D20"/>
    <w:rsid w:val="007D77B7"/>
    <w:rsid w:val="007E1F24"/>
    <w:rsid w:val="007E451F"/>
    <w:rsid w:val="007F0AD4"/>
    <w:rsid w:val="007F0CE2"/>
    <w:rsid w:val="007F3D33"/>
    <w:rsid w:val="007F7E53"/>
    <w:rsid w:val="008029D3"/>
    <w:rsid w:val="008034D8"/>
    <w:rsid w:val="00803B33"/>
    <w:rsid w:val="0080474D"/>
    <w:rsid w:val="00804961"/>
    <w:rsid w:val="008062A9"/>
    <w:rsid w:val="0081659D"/>
    <w:rsid w:val="008204BD"/>
    <w:rsid w:val="00820C60"/>
    <w:rsid w:val="00822BEB"/>
    <w:rsid w:val="008237E6"/>
    <w:rsid w:val="00823FD0"/>
    <w:rsid w:val="008338C4"/>
    <w:rsid w:val="00842185"/>
    <w:rsid w:val="008423AD"/>
    <w:rsid w:val="00844C83"/>
    <w:rsid w:val="0084707B"/>
    <w:rsid w:val="0085002F"/>
    <w:rsid w:val="0085316A"/>
    <w:rsid w:val="008570AF"/>
    <w:rsid w:val="008601C4"/>
    <w:rsid w:val="0086279F"/>
    <w:rsid w:val="00864F8B"/>
    <w:rsid w:val="00866D54"/>
    <w:rsid w:val="00867DB6"/>
    <w:rsid w:val="0087171A"/>
    <w:rsid w:val="00871E5F"/>
    <w:rsid w:val="00874360"/>
    <w:rsid w:val="00874E16"/>
    <w:rsid w:val="008778D8"/>
    <w:rsid w:val="008823C4"/>
    <w:rsid w:val="00885586"/>
    <w:rsid w:val="00886D2A"/>
    <w:rsid w:val="00892FE8"/>
    <w:rsid w:val="008A525F"/>
    <w:rsid w:val="008A778B"/>
    <w:rsid w:val="008A7A04"/>
    <w:rsid w:val="008B2AA1"/>
    <w:rsid w:val="008B4744"/>
    <w:rsid w:val="008B4CD3"/>
    <w:rsid w:val="008C1198"/>
    <w:rsid w:val="008C23EA"/>
    <w:rsid w:val="008C6DE2"/>
    <w:rsid w:val="008C754A"/>
    <w:rsid w:val="008D32D9"/>
    <w:rsid w:val="008D50F3"/>
    <w:rsid w:val="008D6AC9"/>
    <w:rsid w:val="008E1D3D"/>
    <w:rsid w:val="008E73CE"/>
    <w:rsid w:val="008F7846"/>
    <w:rsid w:val="00900625"/>
    <w:rsid w:val="00900D6C"/>
    <w:rsid w:val="00902C03"/>
    <w:rsid w:val="009056B3"/>
    <w:rsid w:val="00905EC8"/>
    <w:rsid w:val="00906EE2"/>
    <w:rsid w:val="00912AA0"/>
    <w:rsid w:val="00914E1E"/>
    <w:rsid w:val="0092183B"/>
    <w:rsid w:val="00922FAC"/>
    <w:rsid w:val="009304BF"/>
    <w:rsid w:val="00932FD3"/>
    <w:rsid w:val="00941A12"/>
    <w:rsid w:val="00941B18"/>
    <w:rsid w:val="009449CC"/>
    <w:rsid w:val="00945592"/>
    <w:rsid w:val="00953360"/>
    <w:rsid w:val="009534B7"/>
    <w:rsid w:val="0095703E"/>
    <w:rsid w:val="0096181B"/>
    <w:rsid w:val="00961EC7"/>
    <w:rsid w:val="00970C6E"/>
    <w:rsid w:val="00975728"/>
    <w:rsid w:val="00992159"/>
    <w:rsid w:val="0099488E"/>
    <w:rsid w:val="009956AD"/>
    <w:rsid w:val="00996CA4"/>
    <w:rsid w:val="009A18CB"/>
    <w:rsid w:val="009A67D7"/>
    <w:rsid w:val="009A7D1D"/>
    <w:rsid w:val="009B2735"/>
    <w:rsid w:val="009B5AFA"/>
    <w:rsid w:val="009B6DC7"/>
    <w:rsid w:val="009B7156"/>
    <w:rsid w:val="009C15D7"/>
    <w:rsid w:val="009C71D1"/>
    <w:rsid w:val="009D11D8"/>
    <w:rsid w:val="009D27A6"/>
    <w:rsid w:val="009D5852"/>
    <w:rsid w:val="009E229D"/>
    <w:rsid w:val="009E4501"/>
    <w:rsid w:val="009F022A"/>
    <w:rsid w:val="009F25EB"/>
    <w:rsid w:val="009F4144"/>
    <w:rsid w:val="009F655E"/>
    <w:rsid w:val="00A0144F"/>
    <w:rsid w:val="00A0565D"/>
    <w:rsid w:val="00A0685D"/>
    <w:rsid w:val="00A06B8F"/>
    <w:rsid w:val="00A129D5"/>
    <w:rsid w:val="00A25BFF"/>
    <w:rsid w:val="00A26884"/>
    <w:rsid w:val="00A27283"/>
    <w:rsid w:val="00A2795C"/>
    <w:rsid w:val="00A31209"/>
    <w:rsid w:val="00A32E92"/>
    <w:rsid w:val="00A35EAE"/>
    <w:rsid w:val="00A415A9"/>
    <w:rsid w:val="00A421AD"/>
    <w:rsid w:val="00A516F3"/>
    <w:rsid w:val="00A52074"/>
    <w:rsid w:val="00A561C6"/>
    <w:rsid w:val="00A62CE9"/>
    <w:rsid w:val="00A634E6"/>
    <w:rsid w:val="00A66329"/>
    <w:rsid w:val="00A7056C"/>
    <w:rsid w:val="00A713B5"/>
    <w:rsid w:val="00A72B72"/>
    <w:rsid w:val="00A73768"/>
    <w:rsid w:val="00A87B13"/>
    <w:rsid w:val="00A92BF9"/>
    <w:rsid w:val="00A96125"/>
    <w:rsid w:val="00AA0DC4"/>
    <w:rsid w:val="00AA377C"/>
    <w:rsid w:val="00AA425D"/>
    <w:rsid w:val="00AB2CAF"/>
    <w:rsid w:val="00AB64F6"/>
    <w:rsid w:val="00AD00A8"/>
    <w:rsid w:val="00AD428E"/>
    <w:rsid w:val="00AD74A7"/>
    <w:rsid w:val="00AE49BE"/>
    <w:rsid w:val="00AE55AC"/>
    <w:rsid w:val="00AE5F8A"/>
    <w:rsid w:val="00AF53DB"/>
    <w:rsid w:val="00AF7AFE"/>
    <w:rsid w:val="00B01237"/>
    <w:rsid w:val="00B02086"/>
    <w:rsid w:val="00B06017"/>
    <w:rsid w:val="00B10919"/>
    <w:rsid w:val="00B1286A"/>
    <w:rsid w:val="00B1318E"/>
    <w:rsid w:val="00B17747"/>
    <w:rsid w:val="00B21CF9"/>
    <w:rsid w:val="00B309C2"/>
    <w:rsid w:val="00B319F3"/>
    <w:rsid w:val="00B33754"/>
    <w:rsid w:val="00B36BE0"/>
    <w:rsid w:val="00B37391"/>
    <w:rsid w:val="00B42D11"/>
    <w:rsid w:val="00B42FF5"/>
    <w:rsid w:val="00B450A3"/>
    <w:rsid w:val="00B61230"/>
    <w:rsid w:val="00B61250"/>
    <w:rsid w:val="00B618E8"/>
    <w:rsid w:val="00B634DB"/>
    <w:rsid w:val="00B64FF7"/>
    <w:rsid w:val="00B66014"/>
    <w:rsid w:val="00B759FB"/>
    <w:rsid w:val="00B857D0"/>
    <w:rsid w:val="00B97265"/>
    <w:rsid w:val="00BA4CDD"/>
    <w:rsid w:val="00BA70BA"/>
    <w:rsid w:val="00BA7E3E"/>
    <w:rsid w:val="00BB0517"/>
    <w:rsid w:val="00BC34A7"/>
    <w:rsid w:val="00BC6585"/>
    <w:rsid w:val="00BC76F2"/>
    <w:rsid w:val="00BD3F71"/>
    <w:rsid w:val="00BD44B5"/>
    <w:rsid w:val="00BE3C8C"/>
    <w:rsid w:val="00BE537A"/>
    <w:rsid w:val="00BE6581"/>
    <w:rsid w:val="00BF4AEF"/>
    <w:rsid w:val="00C042FA"/>
    <w:rsid w:val="00C1161C"/>
    <w:rsid w:val="00C16AD7"/>
    <w:rsid w:val="00C20320"/>
    <w:rsid w:val="00C2384C"/>
    <w:rsid w:val="00C245B1"/>
    <w:rsid w:val="00C27A7C"/>
    <w:rsid w:val="00C30043"/>
    <w:rsid w:val="00C33755"/>
    <w:rsid w:val="00C34933"/>
    <w:rsid w:val="00C40C1D"/>
    <w:rsid w:val="00C40E79"/>
    <w:rsid w:val="00C42E3C"/>
    <w:rsid w:val="00C45C14"/>
    <w:rsid w:val="00C462F3"/>
    <w:rsid w:val="00C46ADD"/>
    <w:rsid w:val="00C477F2"/>
    <w:rsid w:val="00C47CFD"/>
    <w:rsid w:val="00C50974"/>
    <w:rsid w:val="00C51190"/>
    <w:rsid w:val="00C624AE"/>
    <w:rsid w:val="00C657CE"/>
    <w:rsid w:val="00C65B45"/>
    <w:rsid w:val="00C672AB"/>
    <w:rsid w:val="00C67BC0"/>
    <w:rsid w:val="00C7008A"/>
    <w:rsid w:val="00C72B93"/>
    <w:rsid w:val="00C7460A"/>
    <w:rsid w:val="00C774B2"/>
    <w:rsid w:val="00C83947"/>
    <w:rsid w:val="00C84D5C"/>
    <w:rsid w:val="00C91A53"/>
    <w:rsid w:val="00C93A0F"/>
    <w:rsid w:val="00C93CF3"/>
    <w:rsid w:val="00CA2979"/>
    <w:rsid w:val="00CA3ECD"/>
    <w:rsid w:val="00CA5E90"/>
    <w:rsid w:val="00CB084A"/>
    <w:rsid w:val="00CB251A"/>
    <w:rsid w:val="00CB69C0"/>
    <w:rsid w:val="00CB6A26"/>
    <w:rsid w:val="00CC212B"/>
    <w:rsid w:val="00CE0575"/>
    <w:rsid w:val="00CE1209"/>
    <w:rsid w:val="00CE274E"/>
    <w:rsid w:val="00CE5A6D"/>
    <w:rsid w:val="00CF2291"/>
    <w:rsid w:val="00D069E0"/>
    <w:rsid w:val="00D137EA"/>
    <w:rsid w:val="00D169F2"/>
    <w:rsid w:val="00D20D83"/>
    <w:rsid w:val="00D2420F"/>
    <w:rsid w:val="00D256C0"/>
    <w:rsid w:val="00D32A80"/>
    <w:rsid w:val="00D403C5"/>
    <w:rsid w:val="00D4585F"/>
    <w:rsid w:val="00D47CAE"/>
    <w:rsid w:val="00D50BA3"/>
    <w:rsid w:val="00D53255"/>
    <w:rsid w:val="00D6138F"/>
    <w:rsid w:val="00D624B9"/>
    <w:rsid w:val="00D6371B"/>
    <w:rsid w:val="00D642F5"/>
    <w:rsid w:val="00D7138D"/>
    <w:rsid w:val="00D7526C"/>
    <w:rsid w:val="00D77234"/>
    <w:rsid w:val="00D80501"/>
    <w:rsid w:val="00D81394"/>
    <w:rsid w:val="00D85470"/>
    <w:rsid w:val="00D86D72"/>
    <w:rsid w:val="00D914B1"/>
    <w:rsid w:val="00D91668"/>
    <w:rsid w:val="00D965AB"/>
    <w:rsid w:val="00D965BD"/>
    <w:rsid w:val="00DA7326"/>
    <w:rsid w:val="00DB3696"/>
    <w:rsid w:val="00DC418F"/>
    <w:rsid w:val="00DD4EC4"/>
    <w:rsid w:val="00DD5468"/>
    <w:rsid w:val="00DD6F40"/>
    <w:rsid w:val="00DE201D"/>
    <w:rsid w:val="00DF1EBF"/>
    <w:rsid w:val="00DF29FB"/>
    <w:rsid w:val="00DF3B2F"/>
    <w:rsid w:val="00DF48F2"/>
    <w:rsid w:val="00DF4BB1"/>
    <w:rsid w:val="00E0028F"/>
    <w:rsid w:val="00E0383F"/>
    <w:rsid w:val="00E03A13"/>
    <w:rsid w:val="00E03C54"/>
    <w:rsid w:val="00E0525C"/>
    <w:rsid w:val="00E1059E"/>
    <w:rsid w:val="00E120F0"/>
    <w:rsid w:val="00E14F1D"/>
    <w:rsid w:val="00E20A7B"/>
    <w:rsid w:val="00E22829"/>
    <w:rsid w:val="00E3004D"/>
    <w:rsid w:val="00E31B6C"/>
    <w:rsid w:val="00E3509B"/>
    <w:rsid w:val="00E3537D"/>
    <w:rsid w:val="00E36C78"/>
    <w:rsid w:val="00E401C4"/>
    <w:rsid w:val="00E42F0F"/>
    <w:rsid w:val="00E45044"/>
    <w:rsid w:val="00E504BD"/>
    <w:rsid w:val="00E537D1"/>
    <w:rsid w:val="00E55655"/>
    <w:rsid w:val="00E621A8"/>
    <w:rsid w:val="00E72AA8"/>
    <w:rsid w:val="00E72BBB"/>
    <w:rsid w:val="00E81B66"/>
    <w:rsid w:val="00E8389F"/>
    <w:rsid w:val="00E84983"/>
    <w:rsid w:val="00E90FDD"/>
    <w:rsid w:val="00E91C59"/>
    <w:rsid w:val="00E96805"/>
    <w:rsid w:val="00EA115D"/>
    <w:rsid w:val="00EB1109"/>
    <w:rsid w:val="00EB2C29"/>
    <w:rsid w:val="00EB2DBC"/>
    <w:rsid w:val="00EB3505"/>
    <w:rsid w:val="00EB3E6D"/>
    <w:rsid w:val="00EB474D"/>
    <w:rsid w:val="00EB5D5A"/>
    <w:rsid w:val="00EB6A2C"/>
    <w:rsid w:val="00EC1078"/>
    <w:rsid w:val="00EC6E3E"/>
    <w:rsid w:val="00ED3E70"/>
    <w:rsid w:val="00ED4091"/>
    <w:rsid w:val="00ED5E11"/>
    <w:rsid w:val="00EE07BC"/>
    <w:rsid w:val="00EE2AFA"/>
    <w:rsid w:val="00EE4615"/>
    <w:rsid w:val="00EE4642"/>
    <w:rsid w:val="00EF0721"/>
    <w:rsid w:val="00EF20A1"/>
    <w:rsid w:val="00F12CCA"/>
    <w:rsid w:val="00F16A12"/>
    <w:rsid w:val="00F16BA1"/>
    <w:rsid w:val="00F200FB"/>
    <w:rsid w:val="00F233DA"/>
    <w:rsid w:val="00F26471"/>
    <w:rsid w:val="00F31218"/>
    <w:rsid w:val="00F435EB"/>
    <w:rsid w:val="00F535DE"/>
    <w:rsid w:val="00F55043"/>
    <w:rsid w:val="00F57198"/>
    <w:rsid w:val="00F63CB5"/>
    <w:rsid w:val="00F65D80"/>
    <w:rsid w:val="00F7039A"/>
    <w:rsid w:val="00F71261"/>
    <w:rsid w:val="00F74A9C"/>
    <w:rsid w:val="00F770EC"/>
    <w:rsid w:val="00F7776A"/>
    <w:rsid w:val="00F86029"/>
    <w:rsid w:val="00F87873"/>
    <w:rsid w:val="00F936A8"/>
    <w:rsid w:val="00F9473B"/>
    <w:rsid w:val="00F95647"/>
    <w:rsid w:val="00FA7729"/>
    <w:rsid w:val="00FB2A20"/>
    <w:rsid w:val="00FB2C86"/>
    <w:rsid w:val="00FB5098"/>
    <w:rsid w:val="00FB5530"/>
    <w:rsid w:val="00FC4373"/>
    <w:rsid w:val="00FC741B"/>
    <w:rsid w:val="00FC7C26"/>
    <w:rsid w:val="00FD0995"/>
    <w:rsid w:val="00FD4916"/>
    <w:rsid w:val="00FD6E30"/>
    <w:rsid w:val="00FE06BE"/>
    <w:rsid w:val="00FE26D3"/>
    <w:rsid w:val="00FE6BAA"/>
    <w:rsid w:val="00FE7CB2"/>
    <w:rsid w:val="00FF2E8A"/>
    <w:rsid w:val="00FF47E6"/>
    <w:rsid w:val="0196601E"/>
    <w:rsid w:val="01B97F5E"/>
    <w:rsid w:val="02670DCF"/>
    <w:rsid w:val="03084CFA"/>
    <w:rsid w:val="034D2939"/>
    <w:rsid w:val="043164D2"/>
    <w:rsid w:val="04DB69C7"/>
    <w:rsid w:val="056C2AC8"/>
    <w:rsid w:val="06425213"/>
    <w:rsid w:val="069B5E85"/>
    <w:rsid w:val="078D3A1F"/>
    <w:rsid w:val="08395955"/>
    <w:rsid w:val="08D94A4A"/>
    <w:rsid w:val="09332050"/>
    <w:rsid w:val="09652865"/>
    <w:rsid w:val="097D3D26"/>
    <w:rsid w:val="0A1C72DC"/>
    <w:rsid w:val="0AA068F7"/>
    <w:rsid w:val="0ADA2F69"/>
    <w:rsid w:val="0AE10BBF"/>
    <w:rsid w:val="0B4B7E79"/>
    <w:rsid w:val="0BBA5614"/>
    <w:rsid w:val="0BBD0185"/>
    <w:rsid w:val="0D011260"/>
    <w:rsid w:val="0F5D4929"/>
    <w:rsid w:val="0FA93125"/>
    <w:rsid w:val="10F22B45"/>
    <w:rsid w:val="11D245D4"/>
    <w:rsid w:val="11EA4A5D"/>
    <w:rsid w:val="123426ED"/>
    <w:rsid w:val="1330335A"/>
    <w:rsid w:val="13492913"/>
    <w:rsid w:val="13F97A44"/>
    <w:rsid w:val="140915D6"/>
    <w:rsid w:val="14AB42D7"/>
    <w:rsid w:val="159863B1"/>
    <w:rsid w:val="16012CE8"/>
    <w:rsid w:val="1614131D"/>
    <w:rsid w:val="16B6476F"/>
    <w:rsid w:val="1986454E"/>
    <w:rsid w:val="19BD2F50"/>
    <w:rsid w:val="19D653D3"/>
    <w:rsid w:val="19E576EB"/>
    <w:rsid w:val="1A9F3EA8"/>
    <w:rsid w:val="1AF62448"/>
    <w:rsid w:val="1BD23C9F"/>
    <w:rsid w:val="1CE617B0"/>
    <w:rsid w:val="1D475092"/>
    <w:rsid w:val="1E901E0D"/>
    <w:rsid w:val="1EFC4C0E"/>
    <w:rsid w:val="1F3709E9"/>
    <w:rsid w:val="1F5511FE"/>
    <w:rsid w:val="1F791B4A"/>
    <w:rsid w:val="1FF922F7"/>
    <w:rsid w:val="203A6C9D"/>
    <w:rsid w:val="235D1A58"/>
    <w:rsid w:val="23893375"/>
    <w:rsid w:val="23D049E7"/>
    <w:rsid w:val="24F31A54"/>
    <w:rsid w:val="262E49A9"/>
    <w:rsid w:val="291C47AB"/>
    <w:rsid w:val="299E589B"/>
    <w:rsid w:val="29DD2289"/>
    <w:rsid w:val="2A0674B9"/>
    <w:rsid w:val="2A0E1ED2"/>
    <w:rsid w:val="2A19342E"/>
    <w:rsid w:val="2A9E6EDA"/>
    <w:rsid w:val="2AC259E9"/>
    <w:rsid w:val="2BCC4DEC"/>
    <w:rsid w:val="2C272C61"/>
    <w:rsid w:val="2F033AB7"/>
    <w:rsid w:val="2FC604F2"/>
    <w:rsid w:val="30512DC8"/>
    <w:rsid w:val="305807BF"/>
    <w:rsid w:val="30607673"/>
    <w:rsid w:val="30BA0FA5"/>
    <w:rsid w:val="32697E49"/>
    <w:rsid w:val="34B815B7"/>
    <w:rsid w:val="352A04F3"/>
    <w:rsid w:val="355276CD"/>
    <w:rsid w:val="36CC53CF"/>
    <w:rsid w:val="37875802"/>
    <w:rsid w:val="397A5D84"/>
    <w:rsid w:val="3A38257A"/>
    <w:rsid w:val="3A773D1D"/>
    <w:rsid w:val="3B337E5E"/>
    <w:rsid w:val="3C0C2E90"/>
    <w:rsid w:val="3C153A08"/>
    <w:rsid w:val="3D2A703F"/>
    <w:rsid w:val="3D6F398A"/>
    <w:rsid w:val="3D9E1027"/>
    <w:rsid w:val="3E6447D3"/>
    <w:rsid w:val="3FCB4391"/>
    <w:rsid w:val="407103DB"/>
    <w:rsid w:val="41DD26A1"/>
    <w:rsid w:val="432D5ADB"/>
    <w:rsid w:val="455B5C08"/>
    <w:rsid w:val="459E4A6E"/>
    <w:rsid w:val="45E5444B"/>
    <w:rsid w:val="46024881"/>
    <w:rsid w:val="46432AD9"/>
    <w:rsid w:val="48C6265B"/>
    <w:rsid w:val="491679AE"/>
    <w:rsid w:val="4CC8541E"/>
    <w:rsid w:val="4D684939"/>
    <w:rsid w:val="4D7C7F66"/>
    <w:rsid w:val="4E497F1B"/>
    <w:rsid w:val="4E72372F"/>
    <w:rsid w:val="4E826BA1"/>
    <w:rsid w:val="4EB235F2"/>
    <w:rsid w:val="4EC33BA0"/>
    <w:rsid w:val="4FB262DF"/>
    <w:rsid w:val="502913D8"/>
    <w:rsid w:val="506A1CDA"/>
    <w:rsid w:val="513145D7"/>
    <w:rsid w:val="51DB264E"/>
    <w:rsid w:val="52013E99"/>
    <w:rsid w:val="52884ADC"/>
    <w:rsid w:val="528B7935"/>
    <w:rsid w:val="54EF45B2"/>
    <w:rsid w:val="561C68FE"/>
    <w:rsid w:val="56FA05E0"/>
    <w:rsid w:val="57205312"/>
    <w:rsid w:val="575B4970"/>
    <w:rsid w:val="58953240"/>
    <w:rsid w:val="58EA0B58"/>
    <w:rsid w:val="597102CD"/>
    <w:rsid w:val="5AA42EE1"/>
    <w:rsid w:val="5AB20E18"/>
    <w:rsid w:val="5ADD04B0"/>
    <w:rsid w:val="5E127A94"/>
    <w:rsid w:val="5E281F05"/>
    <w:rsid w:val="5EC2103E"/>
    <w:rsid w:val="5F3651D2"/>
    <w:rsid w:val="61E0223F"/>
    <w:rsid w:val="62275A9D"/>
    <w:rsid w:val="62A274F4"/>
    <w:rsid w:val="63473BF7"/>
    <w:rsid w:val="64490C49"/>
    <w:rsid w:val="66832C22"/>
    <w:rsid w:val="67451519"/>
    <w:rsid w:val="68412420"/>
    <w:rsid w:val="68706054"/>
    <w:rsid w:val="688A0DE6"/>
    <w:rsid w:val="68917B90"/>
    <w:rsid w:val="68F02F9E"/>
    <w:rsid w:val="691D1DC4"/>
    <w:rsid w:val="69CF4947"/>
    <w:rsid w:val="6A4626EF"/>
    <w:rsid w:val="6A5473AB"/>
    <w:rsid w:val="6A7C706D"/>
    <w:rsid w:val="6ADF74D7"/>
    <w:rsid w:val="6BCA186A"/>
    <w:rsid w:val="6C0563E5"/>
    <w:rsid w:val="6C6C0C3F"/>
    <w:rsid w:val="6C89702F"/>
    <w:rsid w:val="6C917B8F"/>
    <w:rsid w:val="6DAD049D"/>
    <w:rsid w:val="6ECD387A"/>
    <w:rsid w:val="6EF15A62"/>
    <w:rsid w:val="6F2F03DB"/>
    <w:rsid w:val="6FF139B8"/>
    <w:rsid w:val="70064409"/>
    <w:rsid w:val="71891F52"/>
    <w:rsid w:val="72127AC6"/>
    <w:rsid w:val="73FA1543"/>
    <w:rsid w:val="748E5C99"/>
    <w:rsid w:val="74BF2C7A"/>
    <w:rsid w:val="75682D8E"/>
    <w:rsid w:val="75A31161"/>
    <w:rsid w:val="75D25B10"/>
    <w:rsid w:val="76442929"/>
    <w:rsid w:val="76C27A63"/>
    <w:rsid w:val="795409C4"/>
    <w:rsid w:val="7AF60F49"/>
    <w:rsid w:val="7B7639DB"/>
    <w:rsid w:val="7BBE3424"/>
    <w:rsid w:val="7DFA7AE0"/>
    <w:rsid w:val="7E0328BC"/>
    <w:rsid w:val="7FAC1FBF"/>
    <w:rsid w:val="7FDF36DE"/>
    <w:rsid w:val="7FF5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1"/>
    <w:qFormat/>
    <w:uiPriority w:val="99"/>
    <w:pPr>
      <w:keepNext/>
      <w:keepLines/>
      <w:spacing w:before="340" w:after="330" w:line="578" w:lineRule="auto"/>
      <w:outlineLvl w:val="0"/>
    </w:pPr>
    <w:rPr>
      <w:rFonts w:ascii="Calibri" w:hAnsi="Calibri" w:eastAsia="宋体" w:cs="Times New Roman"/>
      <w:b/>
      <w:bCs/>
      <w:kern w:val="44"/>
      <w:sz w:val="44"/>
      <w:szCs w:val="44"/>
    </w:rPr>
  </w:style>
  <w:style w:type="paragraph" w:styleId="3">
    <w:name w:val="heading 2"/>
    <w:basedOn w:val="1"/>
    <w:next w:val="1"/>
    <w:link w:val="3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8"/>
    <w:semiHidden/>
    <w:unhideWhenUsed/>
    <w:qFormat/>
    <w:uiPriority w:val="9"/>
    <w:pPr>
      <w:keepNext/>
      <w:keepLines/>
      <w:spacing w:before="260" w:after="260" w:line="416" w:lineRule="auto"/>
      <w:outlineLvl w:val="2"/>
    </w:pPr>
    <w:rPr>
      <w:b/>
      <w:bCs/>
      <w:sz w:val="32"/>
      <w:szCs w:val="3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6"/>
    <w:qFormat/>
    <w:uiPriority w:val="0"/>
    <w:pPr>
      <w:ind w:firstLine="420"/>
    </w:pPr>
  </w:style>
  <w:style w:type="paragraph" w:styleId="6">
    <w:name w:val="envelope return"/>
    <w:basedOn w:val="1"/>
    <w:qFormat/>
    <w:uiPriority w:val="0"/>
    <w:pPr>
      <w:snapToGrid w:val="0"/>
    </w:pPr>
    <w:rPr>
      <w:rFonts w:ascii="Arial" w:hAnsi="Arial" w:eastAsia="仿宋_GB2312"/>
      <w:sz w:val="32"/>
    </w:rPr>
  </w:style>
  <w:style w:type="paragraph" w:styleId="7">
    <w:name w:val="annotation text"/>
    <w:basedOn w:val="1"/>
    <w:semiHidden/>
    <w:unhideWhenUsed/>
    <w:qFormat/>
    <w:uiPriority w:val="99"/>
    <w:pPr>
      <w:jc w:val="left"/>
    </w:pPr>
  </w:style>
  <w:style w:type="paragraph" w:styleId="8">
    <w:name w:val="Body Text"/>
    <w:basedOn w:val="1"/>
    <w:qFormat/>
    <w:uiPriority w:val="0"/>
  </w:style>
  <w:style w:type="paragraph" w:styleId="9">
    <w:name w:val="toc 3"/>
    <w:basedOn w:val="1"/>
    <w:next w:val="1"/>
    <w:semiHidden/>
    <w:unhideWhenUsed/>
    <w:qFormat/>
    <w:uiPriority w:val="39"/>
    <w:pPr>
      <w:ind w:left="840" w:leftChars="400"/>
    </w:pPr>
  </w:style>
  <w:style w:type="paragraph" w:styleId="10">
    <w:name w:val="Date"/>
    <w:basedOn w:val="1"/>
    <w:next w:val="1"/>
    <w:link w:val="46"/>
    <w:semiHidden/>
    <w:unhideWhenUsed/>
    <w:qFormat/>
    <w:uiPriority w:val="99"/>
    <w:pPr>
      <w:ind w:left="100" w:leftChars="2500"/>
    </w:pPr>
  </w:style>
  <w:style w:type="paragraph" w:styleId="11">
    <w:name w:val="Body Text Indent 2"/>
    <w:basedOn w:val="1"/>
    <w:link w:val="39"/>
    <w:qFormat/>
    <w:uiPriority w:val="0"/>
    <w:pPr>
      <w:spacing w:line="276" w:lineRule="auto"/>
      <w:ind w:firstLine="420" w:firstLineChars="200"/>
    </w:pPr>
    <w:rPr>
      <w:rFonts w:ascii="宋体" w:hAnsi="宋体" w:eastAsia="宋体" w:cs="Times New Roman"/>
      <w:snapToGrid w:val="0"/>
      <w:kern w:val="0"/>
      <w:szCs w:val="24"/>
    </w:rPr>
  </w:style>
  <w:style w:type="paragraph" w:styleId="12">
    <w:name w:val="Balloon Text"/>
    <w:basedOn w:val="1"/>
    <w:link w:val="27"/>
    <w:semiHidden/>
    <w:unhideWhenUsed/>
    <w:qFormat/>
    <w:uiPriority w:val="99"/>
    <w:rPr>
      <w:sz w:val="18"/>
      <w:szCs w:val="18"/>
    </w:rPr>
  </w:style>
  <w:style w:type="paragraph" w:styleId="13">
    <w:name w:val="footer"/>
    <w:basedOn w:val="1"/>
    <w:link w:val="26"/>
    <w:unhideWhenUsed/>
    <w:qFormat/>
    <w:uiPriority w:val="99"/>
    <w:pPr>
      <w:tabs>
        <w:tab w:val="center" w:pos="4153"/>
        <w:tab w:val="right" w:pos="8306"/>
      </w:tabs>
      <w:snapToGrid w:val="0"/>
      <w:jc w:val="left"/>
    </w:pPr>
    <w:rPr>
      <w:sz w:val="18"/>
      <w:szCs w:val="18"/>
    </w:rPr>
  </w:style>
  <w:style w:type="paragraph" w:styleId="14">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style>
  <w:style w:type="paragraph" w:styleId="16">
    <w:name w:val="Subtitle"/>
    <w:basedOn w:val="1"/>
    <w:next w:val="1"/>
    <w:link w:val="35"/>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7">
    <w:name w:val="toc 2"/>
    <w:basedOn w:val="1"/>
    <w:next w:val="1"/>
    <w:unhideWhenUsed/>
    <w:qFormat/>
    <w:uiPriority w:val="39"/>
    <w:pPr>
      <w:tabs>
        <w:tab w:val="right" w:leader="dot" w:pos="9344"/>
      </w:tabs>
      <w:ind w:left="420" w:leftChars="200"/>
    </w:pPr>
  </w:style>
  <w:style w:type="paragraph" w:styleId="1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36"/>
    <w:qFormat/>
    <w:uiPriority w:val="10"/>
    <w:pPr>
      <w:spacing w:before="240" w:after="60"/>
      <w:jc w:val="center"/>
      <w:outlineLvl w:val="0"/>
    </w:pPr>
    <w:rPr>
      <w:rFonts w:eastAsia="宋体" w:asciiTheme="majorHAnsi" w:hAnsiTheme="majorHAnsi" w:cstheme="majorBidi"/>
      <w:b/>
      <w:bCs/>
      <w:sz w:val="32"/>
      <w:szCs w:val="32"/>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themeColor="hyperlink"/>
      <w:u w:val="single"/>
      <w14:textFill>
        <w14:solidFill>
          <w14:schemeClr w14:val="hlink"/>
        </w14:solidFill>
      </w14:textFill>
    </w:rPr>
  </w:style>
  <w:style w:type="character" w:styleId="24">
    <w:name w:val="annotation reference"/>
    <w:basedOn w:val="22"/>
    <w:semiHidden/>
    <w:unhideWhenUsed/>
    <w:qFormat/>
    <w:uiPriority w:val="99"/>
    <w:rPr>
      <w:sz w:val="21"/>
      <w:szCs w:val="21"/>
    </w:rPr>
  </w:style>
  <w:style w:type="character" w:customStyle="1" w:styleId="25">
    <w:name w:val="页眉 Char"/>
    <w:basedOn w:val="22"/>
    <w:link w:val="14"/>
    <w:qFormat/>
    <w:uiPriority w:val="99"/>
    <w:rPr>
      <w:sz w:val="18"/>
      <w:szCs w:val="18"/>
    </w:rPr>
  </w:style>
  <w:style w:type="character" w:customStyle="1" w:styleId="26">
    <w:name w:val="页脚 Char"/>
    <w:basedOn w:val="22"/>
    <w:link w:val="13"/>
    <w:qFormat/>
    <w:uiPriority w:val="99"/>
    <w:rPr>
      <w:sz w:val="18"/>
      <w:szCs w:val="18"/>
    </w:rPr>
  </w:style>
  <w:style w:type="character" w:customStyle="1" w:styleId="27">
    <w:name w:val="批注框文本 Char"/>
    <w:basedOn w:val="22"/>
    <w:link w:val="12"/>
    <w:semiHidden/>
    <w:qFormat/>
    <w:uiPriority w:val="99"/>
    <w:rPr>
      <w:sz w:val="18"/>
      <w:szCs w:val="18"/>
    </w:rPr>
  </w:style>
  <w:style w:type="paragraph" w:styleId="28">
    <w:name w:val="List Paragraph"/>
    <w:basedOn w:val="1"/>
    <w:qFormat/>
    <w:uiPriority w:val="34"/>
    <w:pPr>
      <w:ind w:firstLine="420" w:firstLineChars="200"/>
    </w:pPr>
  </w:style>
  <w:style w:type="paragraph" w:customStyle="1" w:styleId="2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0">
    <w:name w:val="Char 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character" w:customStyle="1" w:styleId="31">
    <w:name w:val="标题 1 Char"/>
    <w:basedOn w:val="22"/>
    <w:link w:val="2"/>
    <w:qFormat/>
    <w:uiPriority w:val="99"/>
    <w:rPr>
      <w:rFonts w:ascii="Calibri" w:hAnsi="Calibri" w:eastAsia="宋体" w:cs="Times New Roman"/>
      <w:b/>
      <w:bCs/>
      <w:kern w:val="44"/>
      <w:sz w:val="44"/>
      <w:szCs w:val="44"/>
    </w:rPr>
  </w:style>
  <w:style w:type="paragraph" w:styleId="3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
    <w:name w:val="封面标准号1"/>
    <w:qFormat/>
    <w:uiPriority w:val="0"/>
    <w:pPr>
      <w:widowControl w:val="0"/>
      <w:kinsoku w:val="0"/>
      <w:overflowPunct w:val="0"/>
      <w:autoSpaceDE w:val="0"/>
      <w:autoSpaceDN w:val="0"/>
      <w:spacing w:before="308"/>
      <w:jc w:val="right"/>
    </w:pPr>
    <w:rPr>
      <w:rFonts w:ascii="Times New Roman" w:hAnsi="Times New Roman" w:eastAsia="宋体" w:cs="Times New Roman"/>
      <w:sz w:val="28"/>
      <w:lang w:val="en-US" w:eastAsia="zh-CN" w:bidi="ar-SA"/>
    </w:rPr>
  </w:style>
  <w:style w:type="character" w:customStyle="1" w:styleId="34">
    <w:name w:val="不明显强调1"/>
    <w:basedOn w:val="22"/>
    <w:qFormat/>
    <w:uiPriority w:val="19"/>
    <w:rPr>
      <w:i/>
      <w:iCs/>
      <w:color w:val="808080" w:themeColor="text1" w:themeTint="80"/>
      <w14:textFill>
        <w14:solidFill>
          <w14:schemeClr w14:val="tx1">
            <w14:lumMod w14:val="50000"/>
            <w14:lumOff w14:val="50000"/>
          </w14:schemeClr>
        </w14:solidFill>
      </w14:textFill>
    </w:rPr>
  </w:style>
  <w:style w:type="character" w:customStyle="1" w:styleId="35">
    <w:name w:val="副标题 Char"/>
    <w:basedOn w:val="22"/>
    <w:link w:val="16"/>
    <w:qFormat/>
    <w:uiPriority w:val="11"/>
    <w:rPr>
      <w:rFonts w:eastAsia="宋体" w:asciiTheme="majorHAnsi" w:hAnsiTheme="majorHAnsi" w:cstheme="majorBidi"/>
      <w:b/>
      <w:bCs/>
      <w:kern w:val="28"/>
      <w:sz w:val="32"/>
      <w:szCs w:val="32"/>
    </w:rPr>
  </w:style>
  <w:style w:type="character" w:customStyle="1" w:styleId="36">
    <w:name w:val="标题 Char"/>
    <w:basedOn w:val="22"/>
    <w:link w:val="19"/>
    <w:qFormat/>
    <w:uiPriority w:val="10"/>
    <w:rPr>
      <w:rFonts w:eastAsia="宋体" w:asciiTheme="majorHAnsi" w:hAnsiTheme="majorHAnsi" w:cstheme="majorBidi"/>
      <w:b/>
      <w:bCs/>
      <w:sz w:val="32"/>
      <w:szCs w:val="32"/>
    </w:rPr>
  </w:style>
  <w:style w:type="character" w:customStyle="1" w:styleId="37">
    <w:name w:val="标题 2 Char"/>
    <w:basedOn w:val="22"/>
    <w:link w:val="3"/>
    <w:qFormat/>
    <w:uiPriority w:val="9"/>
    <w:rPr>
      <w:rFonts w:asciiTheme="majorHAnsi" w:hAnsiTheme="majorHAnsi" w:eastAsiaTheme="majorEastAsia" w:cstheme="majorBidi"/>
      <w:b/>
      <w:bCs/>
      <w:sz w:val="32"/>
      <w:szCs w:val="32"/>
    </w:rPr>
  </w:style>
  <w:style w:type="character" w:customStyle="1" w:styleId="38">
    <w:name w:val="标题 3 Char"/>
    <w:basedOn w:val="22"/>
    <w:link w:val="4"/>
    <w:semiHidden/>
    <w:qFormat/>
    <w:uiPriority w:val="9"/>
    <w:rPr>
      <w:b/>
      <w:bCs/>
      <w:sz w:val="32"/>
      <w:szCs w:val="32"/>
    </w:rPr>
  </w:style>
  <w:style w:type="character" w:customStyle="1" w:styleId="39">
    <w:name w:val="正文文本缩进 2 Char"/>
    <w:basedOn w:val="22"/>
    <w:link w:val="11"/>
    <w:qFormat/>
    <w:uiPriority w:val="0"/>
    <w:rPr>
      <w:rFonts w:ascii="宋体" w:hAnsi="宋体" w:eastAsia="宋体" w:cs="Times New Roman"/>
      <w:snapToGrid w:val="0"/>
      <w:kern w:val="0"/>
      <w:szCs w:val="24"/>
    </w:rPr>
  </w:style>
  <w:style w:type="paragraph" w:customStyle="1" w:styleId="40">
    <w:name w:val="三级条标题"/>
    <w:basedOn w:val="1"/>
    <w:next w:val="1"/>
    <w:qFormat/>
    <w:uiPriority w:val="0"/>
    <w:pPr>
      <w:widowControl/>
      <w:ind w:left="855"/>
      <w:outlineLvl w:val="4"/>
    </w:pPr>
    <w:rPr>
      <w:rFonts w:ascii="黑体" w:hAnsi="Times New Roman" w:eastAsia="黑体" w:cs="Times New Roman"/>
      <w:kern w:val="0"/>
      <w:szCs w:val="20"/>
    </w:rPr>
  </w:style>
  <w:style w:type="paragraph" w:customStyle="1" w:styleId="41">
    <w:name w:val="附录章标题"/>
    <w:next w:val="1"/>
    <w:qFormat/>
    <w:uiPriority w:val="0"/>
    <w:pPr>
      <w:wordWrap w:val="0"/>
      <w:overflowPunct w:val="0"/>
      <w:autoSpaceDE w:val="0"/>
      <w:spacing w:beforeLines="50" w:afterLines="50"/>
      <w:ind w:left="4047"/>
      <w:jc w:val="both"/>
      <w:textAlignment w:val="baseline"/>
      <w:outlineLvl w:val="1"/>
    </w:pPr>
    <w:rPr>
      <w:rFonts w:ascii="黑体" w:hAnsi="Times New Roman" w:eastAsia="黑体" w:cs="Times New Roman"/>
      <w:kern w:val="21"/>
      <w:sz w:val="21"/>
      <w:lang w:val="en-US" w:eastAsia="zh-CN" w:bidi="ar-SA"/>
    </w:rPr>
  </w:style>
  <w:style w:type="paragraph" w:customStyle="1" w:styleId="42">
    <w:name w:val="附录表标题"/>
    <w:next w:val="1"/>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4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character" w:customStyle="1" w:styleId="44">
    <w:name w:val="high-light-bg4"/>
    <w:basedOn w:val="22"/>
    <w:qFormat/>
    <w:uiPriority w:val="0"/>
  </w:style>
  <w:style w:type="character" w:customStyle="1" w:styleId="45">
    <w:name w:val="ordinary-span-edit2"/>
    <w:basedOn w:val="22"/>
    <w:qFormat/>
    <w:uiPriority w:val="0"/>
  </w:style>
  <w:style w:type="character" w:customStyle="1" w:styleId="46">
    <w:name w:val="日期 Char"/>
    <w:basedOn w:val="22"/>
    <w:link w:val="10"/>
    <w:semiHidden/>
    <w:qFormat/>
    <w:uiPriority w:val="99"/>
  </w:style>
  <w:style w:type="paragraph" w:customStyle="1" w:styleId="47">
    <w:name w:val="正文1"/>
    <w:qFormat/>
    <w:uiPriority w:val="0"/>
    <w:pPr>
      <w:jc w:val="both"/>
    </w:pPr>
    <w:rPr>
      <w:rFonts w:ascii="Calibri" w:hAnsi="Calibri" w:eastAsia="宋体" w:cs="宋体"/>
      <w:kern w:val="2"/>
      <w:sz w:val="21"/>
      <w:szCs w:val="21"/>
      <w:lang w:val="en-US" w:eastAsia="zh-CN" w:bidi="ar-SA"/>
    </w:rPr>
  </w:style>
  <w:style w:type="character" w:customStyle="1" w:styleId="48">
    <w:name w:val="dash6b63_6587__char1"/>
    <w:qFormat/>
    <w:uiPriority w:val="0"/>
    <w:rPr>
      <w:rFonts w:hint="default" w:ascii="Times New Roman" w:hAnsi="Times New Roman" w:cs="Times New Roman"/>
      <w:sz w:val="20"/>
      <w:szCs w:val="20"/>
      <w:u w:val="none"/>
    </w:rPr>
  </w:style>
  <w:style w:type="paragraph" w:customStyle="1" w:styleId="49">
    <w:name w:val="标准文件_前言、引言标题"/>
    <w:next w:val="1"/>
    <w:qFormat/>
    <w:uiPriority w:val="0"/>
    <w:pPr>
      <w:numPr>
        <w:ilvl w:val="0"/>
        <w:numId w:val="1"/>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50">
    <w:name w:val="章标题"/>
    <w:next w:val="51"/>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5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52">
    <w:name w:val="一级条标题"/>
    <w:next w:val="51"/>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53">
    <w:name w:val="二级无"/>
    <w:basedOn w:val="54"/>
    <w:qFormat/>
    <w:uiPriority w:val="0"/>
    <w:pPr>
      <w:spacing w:before="0" w:beforeLines="0" w:after="0" w:afterLines="0"/>
    </w:pPr>
    <w:rPr>
      <w:rFonts w:ascii="宋体" w:eastAsia="宋体"/>
    </w:rPr>
  </w:style>
  <w:style w:type="paragraph" w:customStyle="1" w:styleId="54">
    <w:name w:val="二级条标题"/>
    <w:basedOn w:val="52"/>
    <w:next w:val="51"/>
    <w:qFormat/>
    <w:uiPriority w:val="0"/>
    <w:pPr>
      <w:numPr>
        <w:ilvl w:val="2"/>
        <w:numId w:val="2"/>
      </w:numPr>
      <w:spacing w:before="50" w:after="50"/>
      <w:outlineLvl w:val="3"/>
    </w:pPr>
  </w:style>
  <w:style w:type="paragraph" w:customStyle="1" w:styleId="55">
    <w:name w:val="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4"/>
      </w:numPr>
      <w:tabs>
        <w:tab w:val="left" w:pos="840"/>
      </w:tabs>
      <w:jc w:val="both"/>
    </w:pPr>
    <w:rPr>
      <w:rFonts w:ascii="宋体" w:hAnsi="Times New Roman" w:eastAsia="宋体" w:cs="Times New Roman"/>
      <w:sz w:val="21"/>
      <w:lang w:val="en-US" w:eastAsia="zh-CN" w:bidi="ar-SA"/>
    </w:rPr>
  </w:style>
  <w:style w:type="paragraph" w:customStyle="1" w:styleId="57">
    <w:name w:val="注：（正文）"/>
    <w:basedOn w:val="58"/>
    <w:next w:val="51"/>
    <w:qFormat/>
    <w:uiPriority w:val="0"/>
  </w:style>
  <w:style w:type="paragraph" w:customStyle="1" w:styleId="58">
    <w:name w:val="注："/>
    <w:next w:val="51"/>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59">
    <w:name w:val="附录标识"/>
    <w:basedOn w:val="1"/>
    <w:next w:val="51"/>
    <w:qFormat/>
    <w:uiPriority w:val="0"/>
    <w:pPr>
      <w:keepNext/>
      <w:widowControl/>
      <w:numPr>
        <w:ilvl w:val="0"/>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60">
    <w:name w:val="正文表标题"/>
    <w:next w:val="51"/>
    <w:qFormat/>
    <w:uiPriority w:val="0"/>
    <w:pPr>
      <w:numPr>
        <w:ilvl w:val="0"/>
        <w:numId w:val="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61">
    <w:name w:val="Other|1"/>
    <w:basedOn w:val="1"/>
    <w:qFormat/>
    <w:uiPriority w:val="0"/>
    <w:rPr>
      <w:rFonts w:ascii="宋体" w:hAnsi="宋体" w:cs="宋体"/>
      <w:sz w:val="19"/>
      <w:szCs w:val="19"/>
      <w:lang w:val="zh-CN" w:bidi="zh-CN"/>
    </w:rPr>
  </w:style>
  <w:style w:type="paragraph" w:customStyle="1" w:styleId="62">
    <w:name w:val="终结线"/>
    <w:basedOn w:val="1"/>
    <w:qFormat/>
    <w:uiPriority w:val="0"/>
    <w:pPr>
      <w:framePr w:hSpace="181" w:vSpace="181" w:wrap="around" w:vAnchor="text" w:hAnchor="margin" w:xAlign="center" w:y="285"/>
    </w:pPr>
  </w:style>
  <w:style w:type="paragraph" w:customStyle="1" w:styleId="63">
    <w:name w:val="标准文件_术语条一"/>
    <w:basedOn w:val="64"/>
    <w:next w:val="67"/>
    <w:qFormat/>
    <w:uiPriority w:val="0"/>
  </w:style>
  <w:style w:type="paragraph" w:customStyle="1" w:styleId="64">
    <w:name w:val="标准文件_一级无标题"/>
    <w:basedOn w:val="65"/>
    <w:qFormat/>
    <w:uiPriority w:val="0"/>
    <w:pPr>
      <w:spacing w:before="0" w:beforeLines="0" w:after="0" w:afterLines="0"/>
      <w:outlineLvl w:val="9"/>
    </w:pPr>
    <w:rPr>
      <w:rFonts w:ascii="宋体" w:eastAsia="宋体"/>
    </w:rPr>
  </w:style>
  <w:style w:type="paragraph" w:customStyle="1" w:styleId="65">
    <w:name w:val="标准文件_一级条标题"/>
    <w:basedOn w:val="66"/>
    <w:next w:val="67"/>
    <w:qFormat/>
    <w:uiPriority w:val="0"/>
    <w:pPr>
      <w:numPr>
        <w:ilvl w:val="2"/>
      </w:numPr>
      <w:spacing w:before="50" w:beforeLines="50" w:after="50" w:afterLines="50"/>
      <w:outlineLvl w:val="1"/>
    </w:pPr>
  </w:style>
  <w:style w:type="paragraph" w:customStyle="1" w:styleId="66">
    <w:name w:val="标准文件_章标题"/>
    <w:next w:val="67"/>
    <w:qFormat/>
    <w:uiPriority w:val="0"/>
    <w:pPr>
      <w:numPr>
        <w:ilvl w:val="1"/>
        <w:numId w:val="8"/>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6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8">
    <w:name w:val="标准文件_二级无标题"/>
    <w:basedOn w:val="69"/>
    <w:qFormat/>
    <w:uiPriority w:val="0"/>
    <w:pPr>
      <w:spacing w:before="0" w:beforeLines="0" w:after="0" w:afterLines="0"/>
      <w:outlineLvl w:val="9"/>
    </w:pPr>
    <w:rPr>
      <w:rFonts w:ascii="宋体" w:eastAsia="宋体"/>
    </w:rPr>
  </w:style>
  <w:style w:type="paragraph" w:customStyle="1" w:styleId="69">
    <w:name w:val="标准文件_二级条标题"/>
    <w:next w:val="67"/>
    <w:qFormat/>
    <w:uiPriority w:val="0"/>
    <w:pPr>
      <w:widowControl w:val="0"/>
      <w:numPr>
        <w:ilvl w:val="3"/>
        <w:numId w:val="8"/>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70">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7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72">
    <w:name w:val="说明文字"/>
    <w:basedOn w:val="1"/>
    <w:qFormat/>
    <w:uiPriority w:val="0"/>
    <w:pPr>
      <w:ind w:firstLine="0" w:firstLineChars="0"/>
    </w:pPr>
    <w:rPr>
      <w:sz w:val="21"/>
    </w:rPr>
  </w:style>
  <w:style w:type="paragraph" w:customStyle="1" w:styleId="73">
    <w:name w:val="标准文件_附录一级条标题"/>
    <w:next w:val="67"/>
    <w:qFormat/>
    <w:uiPriority w:val="0"/>
    <w:pPr>
      <w:widowControl w:val="0"/>
      <w:numPr>
        <w:ilvl w:val="1"/>
        <w:numId w:val="6"/>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4">
    <w:name w:val="标准文件_附录图标题"/>
    <w:next w:val="67"/>
    <w:qFormat/>
    <w:uiPriority w:val="0"/>
    <w:pPr>
      <w:numPr>
        <w:ilvl w:val="1"/>
        <w:numId w:val="9"/>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75">
    <w:name w:val="标准文件_参考文献标题"/>
    <w:basedOn w:val="1"/>
    <w:next w:val="1"/>
    <w:qFormat/>
    <w:uiPriority w:val="0"/>
    <w:pPr>
      <w:widowControl/>
      <w:shd w:val="clear" w:color="FFFFFF" w:fill="FFFFFF"/>
      <w:spacing w:before="580" w:after="50" w:afterLines="50"/>
      <w:jc w:val="center"/>
      <w:outlineLvl w:val="0"/>
    </w:pPr>
    <w:rPr>
      <w:rFonts w:ascii="黑体" w:eastAsia="黑体"/>
      <w:kern w:val="0"/>
    </w:rPr>
  </w:style>
  <w:style w:type="paragraph" w:customStyle="1" w:styleId="7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77">
    <w:name w:val="标准文件_字母编号列项（一级）"/>
    <w:qFormat/>
    <w:uiPriority w:val="0"/>
    <w:pPr>
      <w:numPr>
        <w:ilvl w:val="0"/>
        <w:numId w:val="10"/>
      </w:numPr>
      <w:jc w:val="both"/>
    </w:pPr>
    <w:rPr>
      <w:rFonts w:ascii="宋体" w:hAnsi="Times New Roman" w:eastAsia="宋体" w:cs="Times New Roman"/>
      <w:sz w:val="21"/>
      <w:lang w:val="en-US" w:eastAsia="zh-CN" w:bidi="ar-SA"/>
    </w:rPr>
  </w:style>
  <w:style w:type="paragraph" w:customStyle="1" w:styleId="78">
    <w:name w:val="标准文件_数字编号列项（二级）"/>
    <w:qFormat/>
    <w:uiPriority w:val="0"/>
    <w:pPr>
      <w:numPr>
        <w:ilvl w:val="1"/>
        <w:numId w:val="10"/>
      </w:numPr>
      <w:tabs>
        <w:tab w:val="left" w:pos="851"/>
      </w:tabs>
      <w:jc w:val="both"/>
    </w:pPr>
    <w:rPr>
      <w:rFonts w:ascii="宋体" w:hAnsi="Times New Roman" w:eastAsia="宋体" w:cs="Times New Roman"/>
      <w:sz w:val="21"/>
      <w:lang w:val="en-US" w:eastAsia="zh-CN" w:bidi="ar-SA"/>
    </w:rPr>
  </w:style>
  <w:style w:type="paragraph" w:customStyle="1" w:styleId="79">
    <w:name w:val="标准文件_三级无标题"/>
    <w:basedOn w:val="80"/>
    <w:qFormat/>
    <w:uiPriority w:val="0"/>
    <w:pPr>
      <w:spacing w:before="0" w:beforeLines="0" w:after="0" w:afterLines="0"/>
      <w:outlineLvl w:val="9"/>
    </w:pPr>
    <w:rPr>
      <w:rFonts w:ascii="宋体" w:eastAsia="宋体"/>
    </w:rPr>
  </w:style>
  <w:style w:type="paragraph" w:customStyle="1" w:styleId="80">
    <w:name w:val="标准文件_三级条标题"/>
    <w:basedOn w:val="69"/>
    <w:next w:val="67"/>
    <w:qFormat/>
    <w:uiPriority w:val="0"/>
    <w:pPr>
      <w:widowControl/>
      <w:numPr>
        <w:ilvl w:val="4"/>
      </w:numPr>
      <w:outlineLvl w:val="3"/>
    </w:p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2.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header" Target="header6.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f263e90-4452-4842-bcd9-045b07dffb78}"/>
        <w:style w:val=""/>
        <w:category>
          <w:name w:val="常规"/>
          <w:gallery w:val="placeholder"/>
        </w:category>
        <w:types>
          <w:type w:val="bbPlcHdr"/>
        </w:types>
        <w:behaviors>
          <w:behavior w:val="content"/>
        </w:behaviors>
        <w:description w:val=""/>
        <w:guid w:val="{ef263e90-4452-4842-bcd9-045b07dffb78}"/>
      </w:docPartPr>
      <w:docPartBody>
        <w:p>
          <w:pPr>
            <w:pStyle w:val="2"/>
            <w:rPr>
              <w:rFonts w:hint="eastAsia"/>
            </w:rPr>
          </w:pPr>
          <w:r>
            <w:rPr>
              <w:rStyle w:val="3"/>
              <w:rFonts w:hint="eastAsia"/>
            </w:rPr>
            <w:t>选择一项。</w:t>
          </w:r>
        </w:p>
      </w:docPartBody>
    </w:docPart>
    <w:docPart>
      <w:docPartPr>
        <w:name w:val="{512247c4-6764-4983-9aab-31241841d936}"/>
        <w:style w:val=""/>
        <w:category>
          <w:name w:val="常规"/>
          <w:gallery w:val="placeholder"/>
        </w:category>
        <w:types>
          <w:type w:val="bbPlcHdr"/>
        </w:types>
        <w:behaviors>
          <w:behavior w:val="content"/>
        </w:behaviors>
        <w:description w:val=""/>
        <w:guid w:val="{512247c4-6764-4983-9aab-31241841d936}"/>
      </w:docPartPr>
      <w:docPartBody>
        <w:p>
          <w:pPr>
            <w:pStyle w:val="4"/>
            <w:rPr>
              <w:rFonts w:hint="eastAsia"/>
            </w:rPr>
          </w:pPr>
          <w:r>
            <w:rPr>
              <w:rStyle w:val="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1E44DCFF82794D6483D89AF0CB2CF7F9"/>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semiHidden/>
    <w:qFormat/>
    <w:uiPriority w:val="99"/>
    <w:rPr>
      <w:color w:val="808080"/>
    </w:rPr>
  </w:style>
  <w:style w:type="paragraph" w:customStyle="1" w:styleId="4">
    <w:name w:val="A2356432E8C74538A50BDAFF8DFE2408"/>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3B264C-F4AB-4750-B0F2-36A656C9AE92}">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17</Pages>
  <Words>5577</Words>
  <Characters>5918</Characters>
  <Lines>78</Lines>
  <Paragraphs>22</Paragraphs>
  <TotalTime>38</TotalTime>
  <ScaleCrop>false</ScaleCrop>
  <LinksUpToDate>false</LinksUpToDate>
  <CharactersWithSpaces>6284</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2022-12-21T07:00:00Z</dcterms:created>
  <dc:creator>wy</dc:creator>
  <cp:lastModifiedBy>TZ</cp:lastModifiedBy>
  <cp:lastPrinted>2022-09-06T01:26:00Z</cp:lastPrinted>
  <dcterms:modified xsi:type="dcterms:W3CDTF">2024-11-21T05:42:23Z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2D391516055844F695F153CAFD5B753F</vt:lpwstr>
  </property>
</Properties>
</file>